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DA9" w:rsidRPr="00824DA9" w:rsidRDefault="00824DA9" w:rsidP="00824DA9">
      <w:pPr>
        <w:pStyle w:val="Title-chaptergrey"/>
        <w:rPr>
          <w:sz w:val="36"/>
          <w:szCs w:val="36"/>
        </w:rPr>
      </w:pPr>
      <w:bookmarkStart w:id="0" w:name="_Toc11772458"/>
      <w:bookmarkStart w:id="1" w:name="_Toc11795939"/>
      <w:r w:rsidRPr="00824DA9">
        <w:rPr>
          <w:sz w:val="36"/>
          <w:szCs w:val="36"/>
        </w:rPr>
        <w:t>Equality and Human Rights Commission</w:t>
      </w:r>
      <w:bookmarkEnd w:id="0"/>
      <w:bookmarkEnd w:id="1"/>
    </w:p>
    <w:p w:rsidR="00672D06" w:rsidRPr="006615C4" w:rsidRDefault="00672D06" w:rsidP="00BC2067">
      <w:pPr>
        <w:pStyle w:val="Title-chaptergrey"/>
        <w:spacing w:after="0"/>
        <w:rPr>
          <w:sz w:val="100"/>
          <w:szCs w:val="100"/>
        </w:rPr>
      </w:pPr>
      <w:bookmarkStart w:id="2" w:name="_Toc11772459"/>
      <w:bookmarkStart w:id="3" w:name="_Toc11795940"/>
      <w:r w:rsidRPr="006615C4">
        <w:rPr>
          <w:sz w:val="100"/>
          <w:szCs w:val="100"/>
          <w:shd w:val="clear" w:color="auto" w:fill="C4D600"/>
        </w:rPr>
        <w:t>Civil Legal Advice:</w:t>
      </w:r>
      <w:r w:rsidRPr="006615C4">
        <w:rPr>
          <w:sz w:val="100"/>
          <w:szCs w:val="100"/>
        </w:rPr>
        <w:t xml:space="preserve"> </w:t>
      </w:r>
      <w:r w:rsidR="00BC2067">
        <w:rPr>
          <w:sz w:val="100"/>
          <w:szCs w:val="100"/>
          <w:shd w:val="clear" w:color="auto" w:fill="C4D600"/>
        </w:rPr>
        <w:t>analysis of Public Funding Certificate data</w:t>
      </w:r>
      <w:bookmarkEnd w:id="2"/>
      <w:bookmarkEnd w:id="3"/>
    </w:p>
    <w:p w:rsidR="006615C4" w:rsidRPr="006615C4" w:rsidRDefault="006615C4" w:rsidP="006615C4">
      <w:pPr>
        <w:pStyle w:val="Title-chaptergrey"/>
        <w:spacing w:before="1920" w:after="0"/>
      </w:pPr>
      <w:bookmarkStart w:id="4" w:name="_Toc11772460"/>
      <w:bookmarkStart w:id="5" w:name="_Toc11795941"/>
      <w:r w:rsidRPr="006615C4">
        <w:t>June 2019</w:t>
      </w:r>
      <w:bookmarkEnd w:id="5"/>
    </w:p>
    <w:p w:rsidR="006615C4" w:rsidRPr="006615C4" w:rsidRDefault="006615C4" w:rsidP="00824DA9">
      <w:pPr>
        <w:pStyle w:val="Title-chaptergrey"/>
        <w:spacing w:after="0"/>
      </w:pPr>
    </w:p>
    <w:p w:rsidR="00672D06" w:rsidRPr="006615C4" w:rsidRDefault="00BC2067" w:rsidP="00824DA9">
      <w:pPr>
        <w:pStyle w:val="Title-chaptergrey"/>
        <w:spacing w:after="0"/>
      </w:pPr>
      <w:bookmarkStart w:id="6" w:name="_Toc11795942"/>
      <w:proofErr w:type="spellStart"/>
      <w:r>
        <w:t>Pawel</w:t>
      </w:r>
      <w:proofErr w:type="spellEnd"/>
      <w:r w:rsidR="00672D06" w:rsidRPr="006615C4">
        <w:t xml:space="preserve"> </w:t>
      </w:r>
      <w:bookmarkEnd w:id="4"/>
      <w:proofErr w:type="spellStart"/>
      <w:r>
        <w:t>Jancz</w:t>
      </w:r>
      <w:bookmarkEnd w:id="6"/>
      <w:proofErr w:type="spellEnd"/>
    </w:p>
    <w:p w:rsidR="00BC2067" w:rsidRDefault="006615C4" w:rsidP="00824DA9">
      <w:pPr>
        <w:pStyle w:val="Title-chaptergrey"/>
        <w:spacing w:after="0"/>
        <w:sectPr w:rsidR="00BC2067" w:rsidSect="00BC2067">
          <w:headerReference w:type="default" r:id="rId8"/>
          <w:footerReference w:type="even" r:id="rId9"/>
          <w:footerReference w:type="default" r:id="rId10"/>
          <w:footerReference w:type="first" r:id="rId11"/>
          <w:pgSz w:w="11900" w:h="16840"/>
          <w:pgMar w:top="1440" w:right="1440" w:bottom="1440" w:left="1440" w:header="720" w:footer="720" w:gutter="0"/>
          <w:cols w:space="720"/>
          <w:titlePg/>
          <w:docGrid w:linePitch="360"/>
        </w:sectPr>
      </w:pPr>
      <w:bookmarkStart w:id="7" w:name="_Toc11772461"/>
      <w:bookmarkStart w:id="8" w:name="_Toc11795943"/>
      <w:r>
        <w:t>(</w:t>
      </w:r>
      <w:proofErr w:type="spellStart"/>
      <w:r w:rsidR="00824DA9" w:rsidRPr="006615C4">
        <w:t>Numbertelling</w:t>
      </w:r>
      <w:bookmarkEnd w:id="7"/>
      <w:proofErr w:type="spellEnd"/>
      <w:r>
        <w:t>)</w:t>
      </w:r>
      <w:bookmarkEnd w:id="8"/>
    </w:p>
    <w:p w:rsidR="00BC2067" w:rsidRDefault="00941448" w:rsidP="00941448">
      <w:pPr>
        <w:pStyle w:val="Title-chaptergrey"/>
      </w:pPr>
      <w:bookmarkStart w:id="9" w:name="_Toc11772462"/>
      <w:bookmarkStart w:id="10" w:name="_Toc11795944"/>
      <w:r>
        <w:lastRenderedPageBreak/>
        <w:t>Contents</w:t>
      </w:r>
      <w:bookmarkEnd w:id="10"/>
    </w:p>
    <w:sdt>
      <w:sdtPr>
        <w:id w:val="-150057439"/>
        <w:docPartObj>
          <w:docPartGallery w:val="Table of Contents"/>
          <w:docPartUnique/>
        </w:docPartObj>
      </w:sdtPr>
      <w:sdtEndPr>
        <w:rPr>
          <w:rFonts w:ascii="Arial" w:eastAsia="Calibri" w:hAnsi="Arial" w:cs="Times New Roman"/>
          <w:b/>
          <w:bCs/>
          <w:noProof/>
          <w:color w:val="auto"/>
          <w:sz w:val="24"/>
          <w:szCs w:val="22"/>
          <w:lang w:val="en-GB"/>
        </w:rPr>
      </w:sdtEndPr>
      <w:sdtContent>
        <w:p w:rsidR="00C675EC" w:rsidRPr="00C675EC" w:rsidRDefault="00C675EC" w:rsidP="00C675EC">
          <w:pPr>
            <w:pStyle w:val="TOCHeading"/>
            <w:rPr>
              <w:noProof/>
            </w:rPr>
          </w:pPr>
          <w:r>
            <w:rPr>
              <w:b/>
              <w:bCs/>
              <w:noProof/>
            </w:rPr>
            <w:fldChar w:fldCharType="begin"/>
          </w:r>
          <w:r>
            <w:rPr>
              <w:b/>
              <w:bCs/>
              <w:noProof/>
            </w:rPr>
            <w:instrText xml:space="preserve"> TOC \o "1-3" \h \z \u </w:instrText>
          </w:r>
          <w:r>
            <w:rPr>
              <w:b/>
              <w:bCs/>
              <w:noProof/>
            </w:rPr>
            <w:fldChar w:fldCharType="separate"/>
          </w:r>
        </w:p>
        <w:p w:rsidR="00C675EC" w:rsidRDefault="00C675EC" w:rsidP="00C675EC">
          <w:pPr>
            <w:pStyle w:val="TOC1"/>
            <w:tabs>
              <w:tab w:val="left" w:pos="480"/>
              <w:tab w:val="right" w:leader="dot" w:pos="9016"/>
            </w:tabs>
            <w:rPr>
              <w:rFonts w:asciiTheme="minorHAnsi" w:eastAsiaTheme="minorEastAsia" w:hAnsiTheme="minorHAnsi" w:cstheme="minorBidi"/>
              <w:noProof/>
              <w:sz w:val="22"/>
              <w:lang w:eastAsia="en-GB"/>
            </w:rPr>
          </w:pPr>
          <w:hyperlink w:anchor="_Toc11795945" w:history="1">
            <w:r w:rsidRPr="00FE3F6E">
              <w:rPr>
                <w:rStyle w:val="Hyperlink"/>
                <w:noProof/>
              </w:rPr>
              <w:t>1.</w:t>
            </w:r>
            <w:r>
              <w:rPr>
                <w:rFonts w:asciiTheme="minorHAnsi" w:eastAsiaTheme="minorEastAsia" w:hAnsiTheme="minorHAnsi" w:cstheme="minorBidi"/>
                <w:noProof/>
                <w:sz w:val="22"/>
                <w:lang w:eastAsia="en-GB"/>
              </w:rPr>
              <w:t xml:space="preserve">  </w:t>
            </w:r>
            <w:r w:rsidRPr="00FE3F6E">
              <w:rPr>
                <w:rStyle w:val="Hyperlink"/>
                <w:noProof/>
              </w:rPr>
              <w:t>Background</w:t>
            </w:r>
            <w:r>
              <w:rPr>
                <w:noProof/>
                <w:webHidden/>
              </w:rPr>
              <w:tab/>
            </w:r>
            <w:r>
              <w:rPr>
                <w:noProof/>
                <w:webHidden/>
              </w:rPr>
              <w:fldChar w:fldCharType="begin"/>
            </w:r>
            <w:r>
              <w:rPr>
                <w:noProof/>
                <w:webHidden/>
              </w:rPr>
              <w:instrText xml:space="preserve"> PAGEREF _Toc11795945 \h </w:instrText>
            </w:r>
            <w:r>
              <w:rPr>
                <w:noProof/>
                <w:webHidden/>
              </w:rPr>
            </w:r>
            <w:r>
              <w:rPr>
                <w:noProof/>
                <w:webHidden/>
              </w:rPr>
              <w:fldChar w:fldCharType="separate"/>
            </w:r>
            <w:r w:rsidR="00651572">
              <w:rPr>
                <w:noProof/>
                <w:webHidden/>
              </w:rPr>
              <w:t>3</w:t>
            </w:r>
            <w:r>
              <w:rPr>
                <w:noProof/>
                <w:webHidden/>
              </w:rPr>
              <w:fldChar w:fldCharType="end"/>
            </w:r>
          </w:hyperlink>
        </w:p>
        <w:p w:rsidR="00C675EC" w:rsidRDefault="00C675EC" w:rsidP="00C675EC">
          <w:pPr>
            <w:pStyle w:val="TOC1"/>
            <w:tabs>
              <w:tab w:val="right" w:leader="dot" w:pos="9016"/>
            </w:tabs>
            <w:rPr>
              <w:rFonts w:asciiTheme="minorHAnsi" w:eastAsiaTheme="minorEastAsia" w:hAnsiTheme="minorHAnsi" w:cstheme="minorBidi"/>
              <w:noProof/>
              <w:sz w:val="22"/>
              <w:lang w:eastAsia="en-GB"/>
            </w:rPr>
          </w:pPr>
          <w:hyperlink w:anchor="_Toc11795947" w:history="1">
            <w:r w:rsidRPr="00FE3F6E">
              <w:rPr>
                <w:rStyle w:val="Hyperlink"/>
                <w:noProof/>
              </w:rPr>
              <w:t>2. PFCs granted: Discrimination category</w:t>
            </w:r>
            <w:r>
              <w:rPr>
                <w:noProof/>
                <w:webHidden/>
              </w:rPr>
              <w:tab/>
            </w:r>
            <w:r>
              <w:rPr>
                <w:noProof/>
                <w:webHidden/>
              </w:rPr>
              <w:fldChar w:fldCharType="begin"/>
            </w:r>
            <w:r>
              <w:rPr>
                <w:noProof/>
                <w:webHidden/>
              </w:rPr>
              <w:instrText xml:space="preserve"> PAGEREF _Toc11795947 \h </w:instrText>
            </w:r>
            <w:r>
              <w:rPr>
                <w:noProof/>
                <w:webHidden/>
              </w:rPr>
            </w:r>
            <w:r>
              <w:rPr>
                <w:noProof/>
                <w:webHidden/>
              </w:rPr>
              <w:fldChar w:fldCharType="separate"/>
            </w:r>
            <w:r w:rsidR="00651572">
              <w:rPr>
                <w:noProof/>
                <w:webHidden/>
              </w:rPr>
              <w:t>6</w:t>
            </w:r>
            <w:r>
              <w:rPr>
                <w:noProof/>
                <w:webHidden/>
              </w:rPr>
              <w:fldChar w:fldCharType="end"/>
            </w:r>
          </w:hyperlink>
        </w:p>
        <w:p w:rsidR="00C675EC" w:rsidRDefault="00C675EC" w:rsidP="00C675EC">
          <w:pPr>
            <w:pStyle w:val="TOC1"/>
            <w:tabs>
              <w:tab w:val="right" w:leader="dot" w:pos="9016"/>
            </w:tabs>
            <w:rPr>
              <w:rFonts w:asciiTheme="minorHAnsi" w:eastAsiaTheme="minorEastAsia" w:hAnsiTheme="minorHAnsi" w:cstheme="minorBidi"/>
              <w:noProof/>
              <w:sz w:val="22"/>
              <w:lang w:eastAsia="en-GB"/>
            </w:rPr>
          </w:pPr>
          <w:hyperlink w:anchor="_Toc11795955" w:history="1">
            <w:r w:rsidRPr="00FE3F6E">
              <w:rPr>
                <w:rStyle w:val="Hyperlink"/>
                <w:noProof/>
              </w:rPr>
              <w:t>3. PFCs granted: Other Category (Discrimination)</w:t>
            </w:r>
            <w:r>
              <w:rPr>
                <w:noProof/>
                <w:webHidden/>
              </w:rPr>
              <w:tab/>
            </w:r>
            <w:r>
              <w:rPr>
                <w:noProof/>
                <w:webHidden/>
              </w:rPr>
              <w:fldChar w:fldCharType="begin"/>
            </w:r>
            <w:r>
              <w:rPr>
                <w:noProof/>
                <w:webHidden/>
              </w:rPr>
              <w:instrText xml:space="preserve"> PAGEREF _Toc11795955 \h </w:instrText>
            </w:r>
            <w:r>
              <w:rPr>
                <w:noProof/>
                <w:webHidden/>
              </w:rPr>
            </w:r>
            <w:r>
              <w:rPr>
                <w:noProof/>
                <w:webHidden/>
              </w:rPr>
              <w:fldChar w:fldCharType="separate"/>
            </w:r>
            <w:r w:rsidR="00651572">
              <w:rPr>
                <w:noProof/>
                <w:webHidden/>
              </w:rPr>
              <w:t>10</w:t>
            </w:r>
            <w:r>
              <w:rPr>
                <w:noProof/>
                <w:webHidden/>
              </w:rPr>
              <w:fldChar w:fldCharType="end"/>
            </w:r>
          </w:hyperlink>
        </w:p>
        <w:p w:rsidR="00C675EC" w:rsidRDefault="00C675EC" w:rsidP="00C675EC">
          <w:pPr>
            <w:pStyle w:val="TOC1"/>
            <w:tabs>
              <w:tab w:val="right" w:leader="dot" w:pos="9016"/>
            </w:tabs>
            <w:rPr>
              <w:rFonts w:asciiTheme="minorHAnsi" w:eastAsiaTheme="minorEastAsia" w:hAnsiTheme="minorHAnsi" w:cstheme="minorBidi"/>
              <w:noProof/>
              <w:sz w:val="22"/>
              <w:lang w:eastAsia="en-GB"/>
            </w:rPr>
          </w:pPr>
          <w:hyperlink w:anchor="_Toc11795963" w:history="1">
            <w:r w:rsidRPr="00FE3F6E">
              <w:rPr>
                <w:rStyle w:val="Hyperlink"/>
                <w:noProof/>
              </w:rPr>
              <w:t>4. Refusals</w:t>
            </w:r>
            <w:r>
              <w:rPr>
                <w:noProof/>
                <w:webHidden/>
              </w:rPr>
              <w:tab/>
            </w:r>
            <w:r>
              <w:rPr>
                <w:noProof/>
                <w:webHidden/>
              </w:rPr>
              <w:fldChar w:fldCharType="begin"/>
            </w:r>
            <w:r>
              <w:rPr>
                <w:noProof/>
                <w:webHidden/>
              </w:rPr>
              <w:instrText xml:space="preserve"> PAGEREF _Toc11795963 \h </w:instrText>
            </w:r>
            <w:r>
              <w:rPr>
                <w:noProof/>
                <w:webHidden/>
              </w:rPr>
            </w:r>
            <w:r>
              <w:rPr>
                <w:noProof/>
                <w:webHidden/>
              </w:rPr>
              <w:fldChar w:fldCharType="separate"/>
            </w:r>
            <w:r w:rsidR="00651572">
              <w:rPr>
                <w:noProof/>
                <w:webHidden/>
              </w:rPr>
              <w:t>14</w:t>
            </w:r>
            <w:r>
              <w:rPr>
                <w:noProof/>
                <w:webHidden/>
              </w:rPr>
              <w:fldChar w:fldCharType="end"/>
            </w:r>
          </w:hyperlink>
        </w:p>
        <w:p w:rsidR="00C675EC" w:rsidRDefault="00C675EC">
          <w:pPr>
            <w:pStyle w:val="TOC1"/>
            <w:tabs>
              <w:tab w:val="right" w:leader="dot" w:pos="9016"/>
            </w:tabs>
            <w:rPr>
              <w:rFonts w:asciiTheme="minorHAnsi" w:eastAsiaTheme="minorEastAsia" w:hAnsiTheme="minorHAnsi" w:cstheme="minorBidi"/>
              <w:noProof/>
              <w:sz w:val="22"/>
              <w:lang w:eastAsia="en-GB"/>
            </w:rPr>
          </w:pPr>
          <w:hyperlink w:anchor="_Toc11795969" w:history="1">
            <w:r w:rsidRPr="00FE3F6E">
              <w:rPr>
                <w:rStyle w:val="Hyperlink"/>
                <w:noProof/>
              </w:rPr>
              <w:t>5. Comparison between PFC Discrimination and PFC Other Category (Discrimination) Grants</w:t>
            </w:r>
            <w:r>
              <w:rPr>
                <w:noProof/>
                <w:webHidden/>
              </w:rPr>
              <w:tab/>
            </w:r>
            <w:r>
              <w:rPr>
                <w:noProof/>
                <w:webHidden/>
              </w:rPr>
              <w:fldChar w:fldCharType="begin"/>
            </w:r>
            <w:r>
              <w:rPr>
                <w:noProof/>
                <w:webHidden/>
              </w:rPr>
              <w:instrText xml:space="preserve"> PAGEREF _Toc11795969 \h </w:instrText>
            </w:r>
            <w:r>
              <w:rPr>
                <w:noProof/>
                <w:webHidden/>
              </w:rPr>
            </w:r>
            <w:r>
              <w:rPr>
                <w:noProof/>
                <w:webHidden/>
              </w:rPr>
              <w:fldChar w:fldCharType="separate"/>
            </w:r>
            <w:r w:rsidR="00651572">
              <w:rPr>
                <w:noProof/>
                <w:webHidden/>
              </w:rPr>
              <w:t>17</w:t>
            </w:r>
            <w:r>
              <w:rPr>
                <w:noProof/>
                <w:webHidden/>
              </w:rPr>
              <w:fldChar w:fldCharType="end"/>
            </w:r>
          </w:hyperlink>
        </w:p>
        <w:p w:rsidR="00C675EC" w:rsidRDefault="00C675EC">
          <w:pPr>
            <w:pStyle w:val="TOC1"/>
            <w:tabs>
              <w:tab w:val="right" w:leader="dot" w:pos="9016"/>
            </w:tabs>
            <w:rPr>
              <w:rFonts w:asciiTheme="minorHAnsi" w:eastAsiaTheme="minorEastAsia" w:hAnsiTheme="minorHAnsi" w:cstheme="minorBidi"/>
              <w:noProof/>
              <w:sz w:val="22"/>
              <w:lang w:eastAsia="en-GB"/>
            </w:rPr>
          </w:pPr>
          <w:hyperlink w:anchor="_Toc11795970" w:history="1">
            <w:r w:rsidRPr="00FE3F6E">
              <w:rPr>
                <w:rStyle w:val="Hyperlink"/>
                <w:noProof/>
              </w:rPr>
              <w:t>6. Conclusions</w:t>
            </w:r>
            <w:r>
              <w:rPr>
                <w:noProof/>
                <w:webHidden/>
              </w:rPr>
              <w:tab/>
            </w:r>
            <w:r>
              <w:rPr>
                <w:noProof/>
                <w:webHidden/>
              </w:rPr>
              <w:fldChar w:fldCharType="begin"/>
            </w:r>
            <w:r>
              <w:rPr>
                <w:noProof/>
                <w:webHidden/>
              </w:rPr>
              <w:instrText xml:space="preserve"> PAGEREF _Toc11795970 \h </w:instrText>
            </w:r>
            <w:r>
              <w:rPr>
                <w:noProof/>
                <w:webHidden/>
              </w:rPr>
            </w:r>
            <w:r>
              <w:rPr>
                <w:noProof/>
                <w:webHidden/>
              </w:rPr>
              <w:fldChar w:fldCharType="separate"/>
            </w:r>
            <w:r w:rsidR="00651572">
              <w:rPr>
                <w:noProof/>
                <w:webHidden/>
              </w:rPr>
              <w:t>18</w:t>
            </w:r>
            <w:r>
              <w:rPr>
                <w:noProof/>
                <w:webHidden/>
              </w:rPr>
              <w:fldChar w:fldCharType="end"/>
            </w:r>
          </w:hyperlink>
        </w:p>
        <w:p w:rsidR="00C675EC" w:rsidRDefault="00C675EC" w:rsidP="00C675EC">
          <w:pPr>
            <w:pStyle w:val="TOC1"/>
            <w:tabs>
              <w:tab w:val="right" w:leader="dot" w:pos="9016"/>
            </w:tabs>
            <w:rPr>
              <w:rFonts w:asciiTheme="minorHAnsi" w:eastAsiaTheme="minorEastAsia" w:hAnsiTheme="minorHAnsi" w:cstheme="minorBidi"/>
              <w:noProof/>
              <w:sz w:val="22"/>
              <w:lang w:eastAsia="en-GB"/>
            </w:rPr>
          </w:pPr>
          <w:hyperlink w:anchor="_Toc11795971" w:history="1">
            <w:r w:rsidRPr="00FE3F6E">
              <w:rPr>
                <w:rStyle w:val="Hyperlink"/>
                <w:noProof/>
              </w:rPr>
              <w:t>Appendix A: Grouping criteria</w:t>
            </w:r>
            <w:r>
              <w:rPr>
                <w:noProof/>
                <w:webHidden/>
              </w:rPr>
              <w:tab/>
            </w:r>
            <w:r>
              <w:rPr>
                <w:noProof/>
                <w:webHidden/>
              </w:rPr>
              <w:fldChar w:fldCharType="begin"/>
            </w:r>
            <w:r>
              <w:rPr>
                <w:noProof/>
                <w:webHidden/>
              </w:rPr>
              <w:instrText xml:space="preserve"> PAGEREF _Toc11795971 \h </w:instrText>
            </w:r>
            <w:r>
              <w:rPr>
                <w:noProof/>
                <w:webHidden/>
              </w:rPr>
            </w:r>
            <w:r>
              <w:rPr>
                <w:noProof/>
                <w:webHidden/>
              </w:rPr>
              <w:fldChar w:fldCharType="separate"/>
            </w:r>
            <w:r w:rsidR="00651572">
              <w:rPr>
                <w:noProof/>
                <w:webHidden/>
              </w:rPr>
              <w:t>19</w:t>
            </w:r>
            <w:r>
              <w:rPr>
                <w:noProof/>
                <w:webHidden/>
              </w:rPr>
              <w:fldChar w:fldCharType="end"/>
            </w:r>
          </w:hyperlink>
        </w:p>
        <w:p w:rsidR="00C675EC" w:rsidRDefault="00C675EC">
          <w:pPr>
            <w:pStyle w:val="TOC1"/>
            <w:tabs>
              <w:tab w:val="right" w:leader="dot" w:pos="9016"/>
            </w:tabs>
            <w:rPr>
              <w:rFonts w:asciiTheme="minorHAnsi" w:eastAsiaTheme="minorEastAsia" w:hAnsiTheme="minorHAnsi" w:cstheme="minorBidi"/>
              <w:noProof/>
              <w:sz w:val="22"/>
              <w:lang w:eastAsia="en-GB"/>
            </w:rPr>
          </w:pPr>
          <w:hyperlink w:anchor="_Toc11795973" w:history="1">
            <w:r w:rsidRPr="00FE3F6E">
              <w:rPr>
                <w:rStyle w:val="Hyperlink"/>
                <w:noProof/>
              </w:rPr>
              <w:t>Contacts</w:t>
            </w:r>
            <w:r>
              <w:rPr>
                <w:noProof/>
                <w:webHidden/>
              </w:rPr>
              <w:tab/>
            </w:r>
            <w:r>
              <w:rPr>
                <w:noProof/>
                <w:webHidden/>
              </w:rPr>
              <w:fldChar w:fldCharType="begin"/>
            </w:r>
            <w:r>
              <w:rPr>
                <w:noProof/>
                <w:webHidden/>
              </w:rPr>
              <w:instrText xml:space="preserve"> PAGEREF _Toc11795973 \h </w:instrText>
            </w:r>
            <w:r>
              <w:rPr>
                <w:noProof/>
                <w:webHidden/>
              </w:rPr>
            </w:r>
            <w:r>
              <w:rPr>
                <w:noProof/>
                <w:webHidden/>
              </w:rPr>
              <w:fldChar w:fldCharType="separate"/>
            </w:r>
            <w:r w:rsidR="00651572">
              <w:rPr>
                <w:noProof/>
                <w:webHidden/>
              </w:rPr>
              <w:t>20</w:t>
            </w:r>
            <w:r>
              <w:rPr>
                <w:noProof/>
                <w:webHidden/>
              </w:rPr>
              <w:fldChar w:fldCharType="end"/>
            </w:r>
          </w:hyperlink>
        </w:p>
        <w:p w:rsidR="00C675EC" w:rsidRDefault="00C675EC">
          <w:r>
            <w:rPr>
              <w:b/>
              <w:bCs/>
              <w:noProof/>
            </w:rPr>
            <w:fldChar w:fldCharType="end"/>
          </w:r>
        </w:p>
      </w:sdtContent>
    </w:sdt>
    <w:p w:rsidR="00941448" w:rsidRPr="00941448" w:rsidRDefault="00941448" w:rsidP="00941448">
      <w:pPr>
        <w:pStyle w:val="Title-chaptergrey"/>
      </w:pPr>
    </w:p>
    <w:p w:rsidR="00BC2067" w:rsidRPr="0051740A" w:rsidRDefault="00BC2067" w:rsidP="00BC2067">
      <w:pPr>
        <w:tabs>
          <w:tab w:val="right" w:pos="9072"/>
        </w:tabs>
        <w:rPr>
          <w:b/>
          <w:color w:val="000000" w:themeColor="text1"/>
          <w:sz w:val="28"/>
        </w:rPr>
      </w:pPr>
    </w:p>
    <w:p w:rsidR="00BC2067" w:rsidRPr="00027614" w:rsidRDefault="00BC2067" w:rsidP="00BC2067">
      <w:pPr>
        <w:ind w:right="-330"/>
        <w:jc w:val="both"/>
        <w:rPr>
          <w:color w:val="000000" w:themeColor="text1"/>
        </w:rPr>
      </w:pPr>
      <w:r w:rsidRPr="00027614">
        <w:rPr>
          <w:color w:val="000000" w:themeColor="text1"/>
        </w:rPr>
        <w:br w:type="page"/>
      </w:r>
    </w:p>
    <w:p w:rsidR="00BC2067" w:rsidRPr="0051740A" w:rsidRDefault="00BC2067" w:rsidP="00DC2FE2">
      <w:pPr>
        <w:pStyle w:val="Title-chaptergrey"/>
        <w:numPr>
          <w:ilvl w:val="0"/>
          <w:numId w:val="34"/>
        </w:numPr>
      </w:pPr>
      <w:bookmarkStart w:id="11" w:name="_Toc11795945"/>
      <w:r>
        <w:lastRenderedPageBreak/>
        <w:t>Background</w:t>
      </w:r>
      <w:bookmarkEnd w:id="11"/>
    </w:p>
    <w:p w:rsidR="00BC2067" w:rsidRPr="0051740A" w:rsidRDefault="00BC2067" w:rsidP="00941448">
      <w:pPr>
        <w:pStyle w:val="Parabeforeanother"/>
        <w:rPr>
          <w:lang w:eastAsia="en-GB"/>
        </w:rPr>
      </w:pPr>
      <w:r w:rsidRPr="0051740A">
        <w:rPr>
          <w:lang w:eastAsia="en-GB"/>
        </w:rPr>
        <w:t>The Equality and Human Rights Commission (</w:t>
      </w:r>
      <w:r>
        <w:rPr>
          <w:lang w:eastAsia="en-GB"/>
        </w:rPr>
        <w:t>‘the Commission’</w:t>
      </w:r>
      <w:r w:rsidRPr="0051740A">
        <w:rPr>
          <w:lang w:eastAsia="en-GB"/>
        </w:rPr>
        <w:t xml:space="preserve">) commissioned </w:t>
      </w:r>
      <w:proofErr w:type="spellStart"/>
      <w:r w:rsidRPr="0051740A">
        <w:rPr>
          <w:lang w:eastAsia="en-GB"/>
        </w:rPr>
        <w:t>Numbertelling</w:t>
      </w:r>
      <w:proofErr w:type="spellEnd"/>
      <w:r w:rsidRPr="0051740A">
        <w:rPr>
          <w:lang w:eastAsia="en-GB"/>
        </w:rPr>
        <w:t xml:space="preserve"> in November 2018 to assist with its inquiry into legal aid for the victims of discrimination. This report focuses on granted and refused applications for Public Funding Certificates (PFCs). A PFC is normally applied for as a second stage of funding whe</w:t>
      </w:r>
      <w:r>
        <w:rPr>
          <w:lang w:eastAsia="en-GB"/>
        </w:rPr>
        <w:t>n</w:t>
      </w:r>
      <w:r w:rsidRPr="0051740A">
        <w:rPr>
          <w:lang w:eastAsia="en-GB"/>
        </w:rPr>
        <w:t xml:space="preserve"> funding is required to take a case to court.</w:t>
      </w:r>
    </w:p>
    <w:p w:rsidR="00BC2067" w:rsidRPr="0051740A" w:rsidRDefault="00BC2067" w:rsidP="00941448">
      <w:pPr>
        <w:pStyle w:val="Parabeforeanother"/>
        <w:rPr>
          <w:lang w:eastAsia="en-GB"/>
        </w:rPr>
      </w:pPr>
      <w:r w:rsidRPr="0051740A">
        <w:rPr>
          <w:lang w:eastAsia="en-GB"/>
        </w:rPr>
        <w:t xml:space="preserve">At the initial funding stage </w:t>
      </w:r>
      <w:r>
        <w:rPr>
          <w:lang w:eastAsia="en-GB"/>
        </w:rPr>
        <w:t>(</w:t>
      </w:r>
      <w:r w:rsidRPr="0051740A">
        <w:rPr>
          <w:lang w:eastAsia="en-GB"/>
        </w:rPr>
        <w:t>known as ‘Legal Help’</w:t>
      </w:r>
      <w:r>
        <w:rPr>
          <w:lang w:eastAsia="en-GB"/>
        </w:rPr>
        <w:t>)</w:t>
      </w:r>
      <w:r w:rsidRPr="0051740A">
        <w:rPr>
          <w:lang w:eastAsia="en-GB"/>
        </w:rPr>
        <w:t xml:space="preserve">, help and advice can be obtained from a solicitor. This level of funding does not cover the </w:t>
      </w:r>
      <w:r>
        <w:rPr>
          <w:lang w:eastAsia="en-GB"/>
        </w:rPr>
        <w:t>lawyer</w:t>
      </w:r>
      <w:r w:rsidRPr="0051740A">
        <w:rPr>
          <w:lang w:eastAsia="en-GB"/>
        </w:rPr>
        <w:t xml:space="preserve"> representing their client at court. </w:t>
      </w:r>
      <w:r>
        <w:rPr>
          <w:lang w:eastAsia="en-GB"/>
        </w:rPr>
        <w:t>The funding</w:t>
      </w:r>
      <w:r w:rsidRPr="0051740A">
        <w:rPr>
          <w:lang w:eastAsia="en-GB"/>
        </w:rPr>
        <w:t xml:space="preserve"> does cover assistance in the background</w:t>
      </w:r>
      <w:r>
        <w:rPr>
          <w:lang w:eastAsia="en-GB"/>
        </w:rPr>
        <w:t>;</w:t>
      </w:r>
      <w:r w:rsidRPr="0051740A">
        <w:rPr>
          <w:lang w:eastAsia="en-GB"/>
        </w:rPr>
        <w:t xml:space="preserve"> for example</w:t>
      </w:r>
      <w:r>
        <w:rPr>
          <w:lang w:eastAsia="en-GB"/>
        </w:rPr>
        <w:t>,</w:t>
      </w:r>
      <w:r w:rsidRPr="0051740A">
        <w:rPr>
          <w:lang w:eastAsia="en-GB"/>
        </w:rPr>
        <w:t xml:space="preserve"> by helping a client to draft the claim and a witness statement. To secure legal representation at court, the solicitor needs to apply </w:t>
      </w:r>
      <w:r w:rsidRPr="006A4D1B">
        <w:rPr>
          <w:lang w:eastAsia="en-GB"/>
        </w:rPr>
        <w:t xml:space="preserve">for a PFC. It should be noted that a PFC cannot cover legal representation for Employment Tribunal cases or County Court cases that are likely to be allocated to the ‘small claims track’. </w:t>
      </w:r>
    </w:p>
    <w:p w:rsidR="00BC2067" w:rsidRPr="0051740A" w:rsidRDefault="00BC2067" w:rsidP="00941448">
      <w:pPr>
        <w:pStyle w:val="Parabeforeanother"/>
        <w:rPr>
          <w:lang w:eastAsia="en-GB"/>
        </w:rPr>
      </w:pPr>
      <w:r w:rsidRPr="0051740A">
        <w:rPr>
          <w:lang w:eastAsia="en-GB"/>
        </w:rPr>
        <w:t xml:space="preserve">Legal </w:t>
      </w:r>
      <w:r>
        <w:rPr>
          <w:lang w:eastAsia="en-GB"/>
        </w:rPr>
        <w:t>a</w:t>
      </w:r>
      <w:r w:rsidRPr="0051740A">
        <w:rPr>
          <w:lang w:eastAsia="en-GB"/>
        </w:rPr>
        <w:t xml:space="preserve">id contractual arrangements divide the types of work that can be funded into different categories of law. Normally only those providers of legal aid services who hold a contract in a category of law can apply for a PFC in that category of work. </w:t>
      </w:r>
      <w:r>
        <w:rPr>
          <w:lang w:eastAsia="en-GB"/>
        </w:rPr>
        <w:t>For</w:t>
      </w:r>
      <w:r w:rsidRPr="0051740A">
        <w:rPr>
          <w:lang w:eastAsia="en-GB"/>
        </w:rPr>
        <w:t xml:space="preserve"> the </w:t>
      </w:r>
      <w:r>
        <w:rPr>
          <w:lang w:eastAsia="en-GB"/>
        </w:rPr>
        <w:t>D</w:t>
      </w:r>
      <w:r w:rsidRPr="0051740A">
        <w:rPr>
          <w:lang w:eastAsia="en-GB"/>
        </w:rPr>
        <w:t>iscrimination category of law</w:t>
      </w:r>
      <w:r>
        <w:rPr>
          <w:lang w:eastAsia="en-GB"/>
        </w:rPr>
        <w:t>,</w:t>
      </w:r>
      <w:r w:rsidRPr="0051740A">
        <w:rPr>
          <w:lang w:eastAsia="en-GB"/>
        </w:rPr>
        <w:t xml:space="preserve"> the Civil Legal A</w:t>
      </w:r>
      <w:r>
        <w:rPr>
          <w:lang w:eastAsia="en-GB"/>
        </w:rPr>
        <w:t>dvice</w:t>
      </w:r>
      <w:r w:rsidRPr="0051740A">
        <w:rPr>
          <w:lang w:eastAsia="en-GB"/>
        </w:rPr>
        <w:t xml:space="preserve"> (CLA) specialist </w:t>
      </w:r>
      <w:r>
        <w:rPr>
          <w:lang w:eastAsia="en-GB"/>
        </w:rPr>
        <w:t>providers</w:t>
      </w:r>
      <w:r w:rsidRPr="0051740A">
        <w:rPr>
          <w:lang w:eastAsia="en-GB"/>
        </w:rPr>
        <w:t xml:space="preserve"> contracted by the Legal Aid Agency (LAA) to provide advice in discrimination cases </w:t>
      </w:r>
      <w:r>
        <w:rPr>
          <w:lang w:eastAsia="en-GB"/>
        </w:rPr>
        <w:t xml:space="preserve">can </w:t>
      </w:r>
      <w:r w:rsidRPr="0051740A">
        <w:rPr>
          <w:lang w:eastAsia="en-GB"/>
        </w:rPr>
        <w:t>apply for a PFC in discrimination work.</w:t>
      </w:r>
    </w:p>
    <w:p w:rsidR="00BC2067" w:rsidRDefault="00BC2067" w:rsidP="00941448">
      <w:pPr>
        <w:pStyle w:val="Parabeforeanother"/>
        <w:rPr>
          <w:lang w:eastAsia="en-GB"/>
        </w:rPr>
      </w:pPr>
      <w:r w:rsidRPr="0051740A">
        <w:rPr>
          <w:lang w:eastAsia="en-GB"/>
        </w:rPr>
        <w:t xml:space="preserve">In some cases, another legal aid </w:t>
      </w:r>
      <w:r>
        <w:rPr>
          <w:lang w:eastAsia="en-GB"/>
        </w:rPr>
        <w:t>solicitor</w:t>
      </w:r>
      <w:r w:rsidRPr="0051740A">
        <w:rPr>
          <w:lang w:eastAsia="en-GB"/>
        </w:rPr>
        <w:t xml:space="preserve"> can also take on a discrimination case. For example</w:t>
      </w:r>
      <w:r>
        <w:rPr>
          <w:lang w:eastAsia="en-GB"/>
        </w:rPr>
        <w:t>,</w:t>
      </w:r>
      <w:r w:rsidRPr="0051740A">
        <w:rPr>
          <w:lang w:eastAsia="en-GB"/>
        </w:rPr>
        <w:t xml:space="preserve"> if </w:t>
      </w:r>
      <w:r>
        <w:rPr>
          <w:lang w:eastAsia="en-GB"/>
        </w:rPr>
        <w:t>a</w:t>
      </w:r>
      <w:r w:rsidRPr="0051740A">
        <w:rPr>
          <w:lang w:eastAsia="en-GB"/>
        </w:rPr>
        <w:t xml:space="preserve"> case relates to another category of law, such as housing, in which a solicitor has a contract to provide legal aid, they can advise on a discrimination case in the housing context </w:t>
      </w:r>
      <w:r w:rsidRPr="006A4D1B">
        <w:rPr>
          <w:lang w:eastAsia="en-GB"/>
        </w:rPr>
        <w:t>if there has been a contravention of the Equality Act 2010 and</w:t>
      </w:r>
      <w:r>
        <w:rPr>
          <w:lang w:eastAsia="en-GB"/>
        </w:rPr>
        <w:t xml:space="preserve"> can</w:t>
      </w:r>
      <w:r w:rsidRPr="006A4D1B">
        <w:rPr>
          <w:lang w:eastAsia="en-GB"/>
        </w:rPr>
        <w:t xml:space="preserve"> apply for a PFC to take the case to court in appropriate circumstances. </w:t>
      </w:r>
    </w:p>
    <w:p w:rsidR="00BC2067" w:rsidRPr="006A4D1B" w:rsidRDefault="00BC2067" w:rsidP="00941448">
      <w:pPr>
        <w:pStyle w:val="Parabeforeanother"/>
        <w:rPr>
          <w:lang w:eastAsia="en-GB"/>
        </w:rPr>
      </w:pPr>
      <w:r w:rsidRPr="006A4D1B">
        <w:rPr>
          <w:lang w:eastAsia="en-GB"/>
        </w:rPr>
        <w:t>In this report, separate analys</w:t>
      </w:r>
      <w:r>
        <w:rPr>
          <w:lang w:eastAsia="en-GB"/>
        </w:rPr>
        <w:t>e</w:t>
      </w:r>
      <w:r w:rsidRPr="006A4D1B">
        <w:rPr>
          <w:lang w:eastAsia="en-GB"/>
        </w:rPr>
        <w:t>s ha</w:t>
      </w:r>
      <w:r>
        <w:rPr>
          <w:lang w:eastAsia="en-GB"/>
        </w:rPr>
        <w:t>ve</w:t>
      </w:r>
      <w:r w:rsidRPr="006A4D1B">
        <w:rPr>
          <w:lang w:eastAsia="en-GB"/>
        </w:rPr>
        <w:t xml:space="preserve"> been conducted </w:t>
      </w:r>
      <w:r>
        <w:rPr>
          <w:lang w:eastAsia="en-GB"/>
        </w:rPr>
        <w:t xml:space="preserve">of </w:t>
      </w:r>
      <w:r w:rsidRPr="006A4D1B">
        <w:rPr>
          <w:lang w:eastAsia="en-GB"/>
        </w:rPr>
        <w:t>PFCs in the Discrimination category of law and</w:t>
      </w:r>
      <w:r>
        <w:rPr>
          <w:lang w:eastAsia="en-GB"/>
        </w:rPr>
        <w:t xml:space="preserve"> of</w:t>
      </w:r>
      <w:r w:rsidRPr="006A4D1B">
        <w:rPr>
          <w:lang w:eastAsia="en-GB"/>
        </w:rPr>
        <w:t xml:space="preserve"> </w:t>
      </w:r>
      <w:r>
        <w:rPr>
          <w:lang w:eastAsia="en-GB"/>
        </w:rPr>
        <w:t>PFCs</w:t>
      </w:r>
      <w:r w:rsidRPr="006A4D1B">
        <w:rPr>
          <w:lang w:eastAsia="en-GB"/>
        </w:rPr>
        <w:t xml:space="preserve"> in other categories of law where an element of discrimination</w:t>
      </w:r>
      <w:r>
        <w:rPr>
          <w:lang w:eastAsia="en-GB"/>
        </w:rPr>
        <w:t xml:space="preserve"> exists</w:t>
      </w:r>
      <w:r w:rsidRPr="006A4D1B">
        <w:rPr>
          <w:lang w:eastAsia="en-GB"/>
        </w:rPr>
        <w:t>. We refer to these</w:t>
      </w:r>
      <w:r>
        <w:rPr>
          <w:lang w:eastAsia="en-GB"/>
        </w:rPr>
        <w:t xml:space="preserve"> two</w:t>
      </w:r>
      <w:r w:rsidRPr="006A4D1B">
        <w:rPr>
          <w:lang w:eastAsia="en-GB"/>
        </w:rPr>
        <w:t xml:space="preserve"> groups in the report as ‘PFC Discrimination’ and ‘PFC Other Category (Discrimination)’. Section 2 of the report focuses on PFC Discrimination cases and Section 3 on PFC Other Category (Discrimination) cases. The PFC Other Category (Discrimination) group comprises cases linked in the LAA’s data to a discrimination or equality-related proceedings </w:t>
      </w:r>
      <w:r w:rsidRPr="006A4D1B">
        <w:rPr>
          <w:lang w:eastAsia="en-GB"/>
        </w:rPr>
        <w:lastRenderedPageBreak/>
        <w:t xml:space="preserve">code. </w:t>
      </w:r>
      <w:r>
        <w:rPr>
          <w:lang w:eastAsia="en-GB"/>
        </w:rPr>
        <w:t>The group</w:t>
      </w:r>
      <w:r w:rsidRPr="006A4D1B">
        <w:rPr>
          <w:lang w:eastAsia="en-GB"/>
        </w:rPr>
        <w:t xml:space="preserve"> does not capture cases </w:t>
      </w:r>
      <w:r>
        <w:rPr>
          <w:lang w:eastAsia="en-GB"/>
        </w:rPr>
        <w:t>that</w:t>
      </w:r>
      <w:r w:rsidRPr="006A4D1B">
        <w:rPr>
          <w:lang w:eastAsia="en-GB"/>
        </w:rPr>
        <w:t xml:space="preserve"> relate to equality and discrimination law but </w:t>
      </w:r>
      <w:r>
        <w:rPr>
          <w:lang w:eastAsia="en-GB"/>
        </w:rPr>
        <w:t xml:space="preserve">which </w:t>
      </w:r>
      <w:r w:rsidRPr="006A4D1B">
        <w:rPr>
          <w:lang w:eastAsia="en-GB"/>
        </w:rPr>
        <w:t xml:space="preserve">are linked to other proceedings codes and </w:t>
      </w:r>
      <w:r>
        <w:rPr>
          <w:lang w:eastAsia="en-GB"/>
        </w:rPr>
        <w:t>for which</w:t>
      </w:r>
      <w:r w:rsidRPr="006A4D1B">
        <w:rPr>
          <w:lang w:eastAsia="en-GB"/>
        </w:rPr>
        <w:t xml:space="preserve"> the lead proceeding code is </w:t>
      </w:r>
      <w:r w:rsidRPr="006A4D1B">
        <w:rPr>
          <w:b/>
          <w:lang w:eastAsia="en-GB"/>
        </w:rPr>
        <w:t>not</w:t>
      </w:r>
      <w:r w:rsidRPr="006A4D1B">
        <w:rPr>
          <w:lang w:eastAsia="en-GB"/>
        </w:rPr>
        <w:t xml:space="preserve"> discrimination. For example, a Public Law case may raise Equality Act issues without them being specified as the leading code on the PFC.</w:t>
      </w:r>
    </w:p>
    <w:p w:rsidR="00BC2067" w:rsidRPr="0051740A" w:rsidRDefault="00BC2067" w:rsidP="00941448">
      <w:pPr>
        <w:pStyle w:val="Parabeforeanother"/>
        <w:rPr>
          <w:lang w:eastAsia="en-GB"/>
        </w:rPr>
      </w:pPr>
      <w:proofErr w:type="spellStart"/>
      <w:r w:rsidRPr="0051740A">
        <w:rPr>
          <w:lang w:eastAsia="en-GB"/>
        </w:rPr>
        <w:t>Numbertelling</w:t>
      </w:r>
      <w:r>
        <w:rPr>
          <w:lang w:eastAsia="en-GB"/>
        </w:rPr>
        <w:t>’s</w:t>
      </w:r>
      <w:proofErr w:type="spellEnd"/>
      <w:r w:rsidRPr="0051740A">
        <w:rPr>
          <w:lang w:eastAsia="en-GB"/>
        </w:rPr>
        <w:t xml:space="preserve"> work involved analysing a dataset provided by the LAA</w:t>
      </w:r>
      <w:r>
        <w:rPr>
          <w:lang w:eastAsia="en-GB"/>
        </w:rPr>
        <w:t xml:space="preserve"> that </w:t>
      </w:r>
      <w:r w:rsidRPr="0051740A">
        <w:rPr>
          <w:lang w:eastAsia="en-GB"/>
        </w:rPr>
        <w:t>contain</w:t>
      </w:r>
      <w:r>
        <w:rPr>
          <w:lang w:eastAsia="en-GB"/>
        </w:rPr>
        <w:t>s</w:t>
      </w:r>
      <w:r w:rsidRPr="0051740A">
        <w:rPr>
          <w:lang w:eastAsia="en-GB"/>
        </w:rPr>
        <w:t xml:space="preserve"> details of granted and refused applications for PFCs, covering PFC </w:t>
      </w:r>
      <w:r>
        <w:rPr>
          <w:lang w:eastAsia="en-GB"/>
        </w:rPr>
        <w:t>D</w:t>
      </w:r>
      <w:r w:rsidRPr="0051740A">
        <w:rPr>
          <w:lang w:eastAsia="en-GB"/>
        </w:rPr>
        <w:t xml:space="preserve">iscrimination and PFC </w:t>
      </w:r>
      <w:r>
        <w:rPr>
          <w:lang w:eastAsia="en-GB"/>
        </w:rPr>
        <w:t>O</w:t>
      </w:r>
      <w:r w:rsidRPr="0051740A">
        <w:rPr>
          <w:lang w:eastAsia="en-GB"/>
        </w:rPr>
        <w:t xml:space="preserve">ther </w:t>
      </w:r>
      <w:r>
        <w:rPr>
          <w:lang w:eastAsia="en-GB"/>
        </w:rPr>
        <w:t>Category (D</w:t>
      </w:r>
      <w:r w:rsidRPr="0051740A">
        <w:rPr>
          <w:lang w:eastAsia="en-GB"/>
        </w:rPr>
        <w:t>iscrimination</w:t>
      </w:r>
      <w:r>
        <w:rPr>
          <w:lang w:eastAsia="en-GB"/>
        </w:rPr>
        <w:t>)</w:t>
      </w:r>
      <w:r w:rsidRPr="0051740A">
        <w:rPr>
          <w:lang w:eastAsia="en-GB"/>
        </w:rPr>
        <w:t xml:space="preserve">. The details include information such as age, disability, category of law, matter type, and outcome information (stage end, method of resolution, outcome and </w:t>
      </w:r>
      <w:r>
        <w:rPr>
          <w:lang w:eastAsia="en-GB"/>
        </w:rPr>
        <w:t xml:space="preserve">whether </w:t>
      </w:r>
      <w:r w:rsidRPr="0051740A">
        <w:rPr>
          <w:lang w:eastAsia="en-GB"/>
        </w:rPr>
        <w:t>alternative dispute resolution</w:t>
      </w:r>
      <w:r>
        <w:rPr>
          <w:lang w:eastAsia="en-GB"/>
        </w:rPr>
        <w:t xml:space="preserve"> was used</w:t>
      </w:r>
      <w:r w:rsidRPr="0051740A">
        <w:rPr>
          <w:lang w:eastAsia="en-GB"/>
        </w:rPr>
        <w:t xml:space="preserve">). The dataset covers England and Wales </w:t>
      </w:r>
      <w:r>
        <w:rPr>
          <w:lang w:eastAsia="en-GB"/>
        </w:rPr>
        <w:t>(</w:t>
      </w:r>
      <w:r w:rsidRPr="0051740A">
        <w:rPr>
          <w:lang w:eastAsia="en-GB"/>
        </w:rPr>
        <w:t>but not Scotland</w:t>
      </w:r>
      <w:r>
        <w:rPr>
          <w:lang w:eastAsia="en-GB"/>
        </w:rPr>
        <w:t>) and</w:t>
      </w:r>
      <w:r w:rsidRPr="0051740A">
        <w:rPr>
          <w:lang w:eastAsia="en-GB"/>
        </w:rPr>
        <w:t xml:space="preserve"> contain</w:t>
      </w:r>
      <w:r>
        <w:rPr>
          <w:lang w:eastAsia="en-GB"/>
        </w:rPr>
        <w:t>s</w:t>
      </w:r>
      <w:r w:rsidRPr="0051740A">
        <w:rPr>
          <w:lang w:eastAsia="en-GB"/>
        </w:rPr>
        <w:t xml:space="preserve"> all relevant records from 2013</w:t>
      </w:r>
      <w:r>
        <w:rPr>
          <w:lang w:eastAsia="en-GB"/>
        </w:rPr>
        <w:t>/</w:t>
      </w:r>
      <w:r w:rsidRPr="0051740A">
        <w:rPr>
          <w:lang w:eastAsia="en-GB"/>
        </w:rPr>
        <w:t>14 to 2017</w:t>
      </w:r>
      <w:r>
        <w:rPr>
          <w:lang w:eastAsia="en-GB"/>
        </w:rPr>
        <w:t>/</w:t>
      </w:r>
      <w:r w:rsidRPr="0051740A">
        <w:rPr>
          <w:lang w:eastAsia="en-GB"/>
        </w:rPr>
        <w:t>18. It also contain</w:t>
      </w:r>
      <w:r>
        <w:rPr>
          <w:lang w:eastAsia="en-GB"/>
        </w:rPr>
        <w:t>s</w:t>
      </w:r>
      <w:r w:rsidRPr="0051740A">
        <w:rPr>
          <w:lang w:eastAsia="en-GB"/>
        </w:rPr>
        <w:t xml:space="preserve"> 2012</w:t>
      </w:r>
      <w:r>
        <w:rPr>
          <w:lang w:eastAsia="en-GB"/>
        </w:rPr>
        <w:t>/</w:t>
      </w:r>
      <w:r w:rsidRPr="0051740A">
        <w:rPr>
          <w:lang w:eastAsia="en-GB"/>
        </w:rPr>
        <w:t>13 and 2018</w:t>
      </w:r>
      <w:r>
        <w:rPr>
          <w:lang w:eastAsia="en-GB"/>
        </w:rPr>
        <w:t>/</w:t>
      </w:r>
      <w:r w:rsidRPr="0051740A">
        <w:rPr>
          <w:lang w:eastAsia="en-GB"/>
        </w:rPr>
        <w:t>19 records, but these have been excluded from the analysis as they only contained partial annual information.</w:t>
      </w:r>
    </w:p>
    <w:p w:rsidR="00BC2067" w:rsidRPr="00941448" w:rsidRDefault="00BC2067" w:rsidP="00941448">
      <w:pPr>
        <w:pStyle w:val="Parabeforeanother"/>
        <w:rPr>
          <w:lang w:eastAsia="en-GB"/>
        </w:rPr>
      </w:pPr>
      <w:r w:rsidRPr="0051740A">
        <w:rPr>
          <w:lang w:eastAsia="en-GB"/>
        </w:rPr>
        <w:t xml:space="preserve">The dataset used for the analysis consists of data extracts from two different management systems: CIS </w:t>
      </w:r>
      <w:r>
        <w:rPr>
          <w:lang w:eastAsia="en-GB"/>
        </w:rPr>
        <w:t xml:space="preserve">(Corporate Information System) </w:t>
      </w:r>
      <w:r w:rsidRPr="0051740A">
        <w:rPr>
          <w:lang w:eastAsia="en-GB"/>
        </w:rPr>
        <w:t>and CCMS</w:t>
      </w:r>
      <w:r>
        <w:rPr>
          <w:lang w:eastAsia="en-GB"/>
        </w:rPr>
        <w:t xml:space="preserve"> (Client and Cost Management System)</w:t>
      </w:r>
      <w:r w:rsidRPr="0051740A">
        <w:rPr>
          <w:lang w:eastAsia="en-GB"/>
        </w:rPr>
        <w:t xml:space="preserve">. </w:t>
      </w:r>
      <w:r>
        <w:rPr>
          <w:lang w:eastAsia="en-GB"/>
        </w:rPr>
        <w:t>These two</w:t>
      </w:r>
      <w:r w:rsidRPr="0051740A">
        <w:rPr>
          <w:lang w:eastAsia="en-GB"/>
        </w:rPr>
        <w:t xml:space="preserve"> systems collect data in</w:t>
      </w:r>
      <w:r>
        <w:rPr>
          <w:lang w:eastAsia="en-GB"/>
        </w:rPr>
        <w:t xml:space="preserve"> a</w:t>
      </w:r>
      <w:r w:rsidRPr="0051740A">
        <w:rPr>
          <w:lang w:eastAsia="en-GB"/>
        </w:rPr>
        <w:t xml:space="preserve"> similar fashion </w:t>
      </w:r>
      <w:r>
        <w:rPr>
          <w:lang w:eastAsia="en-GB"/>
        </w:rPr>
        <w:t xml:space="preserve">and </w:t>
      </w:r>
      <w:r w:rsidRPr="0051740A">
        <w:rPr>
          <w:lang w:eastAsia="en-GB"/>
        </w:rPr>
        <w:t>with similar coding</w:t>
      </w:r>
      <w:r>
        <w:rPr>
          <w:lang w:eastAsia="en-GB"/>
        </w:rPr>
        <w:t>, which allowed</w:t>
      </w:r>
      <w:r w:rsidRPr="0051740A">
        <w:rPr>
          <w:lang w:eastAsia="en-GB"/>
        </w:rPr>
        <w:t xml:space="preserve"> the</w:t>
      </w:r>
      <w:r>
        <w:rPr>
          <w:lang w:eastAsia="en-GB"/>
        </w:rPr>
        <w:t xml:space="preserve"> two datasets to be</w:t>
      </w:r>
      <w:r w:rsidRPr="0051740A">
        <w:rPr>
          <w:lang w:eastAsia="en-GB"/>
        </w:rPr>
        <w:t xml:space="preserve"> blend</w:t>
      </w:r>
      <w:r>
        <w:rPr>
          <w:lang w:eastAsia="en-GB"/>
        </w:rPr>
        <w:t>ed</w:t>
      </w:r>
      <w:r w:rsidRPr="0051740A">
        <w:rPr>
          <w:lang w:eastAsia="en-GB"/>
        </w:rPr>
        <w:t xml:space="preserve"> without major issues. </w:t>
      </w:r>
      <w:r>
        <w:rPr>
          <w:lang w:eastAsia="en-GB"/>
        </w:rPr>
        <w:t>T</w:t>
      </w:r>
      <w:r w:rsidRPr="0051740A">
        <w:rPr>
          <w:lang w:eastAsia="en-GB"/>
        </w:rPr>
        <w:t xml:space="preserve">he LAA </w:t>
      </w:r>
      <w:r>
        <w:rPr>
          <w:lang w:eastAsia="en-GB"/>
        </w:rPr>
        <w:t xml:space="preserve">initially </w:t>
      </w:r>
      <w:r w:rsidRPr="0051740A">
        <w:rPr>
          <w:lang w:eastAsia="en-GB"/>
        </w:rPr>
        <w:t>used the CIS system only, before gradually moving to the CCMS system</w:t>
      </w:r>
      <w:r>
        <w:rPr>
          <w:lang w:eastAsia="en-GB"/>
        </w:rPr>
        <w:t>; by 2016/17, the LAA largely used the CCMS system. D</w:t>
      </w:r>
      <w:r w:rsidRPr="0051740A">
        <w:rPr>
          <w:lang w:eastAsia="en-GB"/>
        </w:rPr>
        <w:t>ifferences in the information collected by the two systems a</w:t>
      </w:r>
      <w:r>
        <w:rPr>
          <w:lang w:eastAsia="en-GB"/>
        </w:rPr>
        <w:t>re</w:t>
      </w:r>
      <w:r w:rsidRPr="0051740A">
        <w:rPr>
          <w:lang w:eastAsia="en-GB"/>
        </w:rPr>
        <w:t xml:space="preserve"> discussed </w:t>
      </w:r>
      <w:r>
        <w:rPr>
          <w:lang w:eastAsia="en-GB"/>
        </w:rPr>
        <w:t>in Appendix A</w:t>
      </w:r>
      <w:r w:rsidRPr="0051740A">
        <w:rPr>
          <w:lang w:eastAsia="en-GB"/>
        </w:rPr>
        <w:t xml:space="preserve">. Where possible, we also compared our analysis of the LAA dataset with relevant published data from the Ministry of Justice as part of its </w:t>
      </w:r>
      <w:r>
        <w:rPr>
          <w:lang w:eastAsia="en-GB"/>
        </w:rPr>
        <w:t>l</w:t>
      </w:r>
      <w:r w:rsidRPr="0051740A">
        <w:rPr>
          <w:lang w:eastAsia="en-GB"/>
        </w:rPr>
        <w:t xml:space="preserve">egal </w:t>
      </w:r>
      <w:r>
        <w:rPr>
          <w:lang w:eastAsia="en-GB"/>
        </w:rPr>
        <w:t>a</w:t>
      </w:r>
      <w:r w:rsidRPr="0051740A">
        <w:rPr>
          <w:lang w:eastAsia="en-GB"/>
        </w:rPr>
        <w:t>id statistics. Th</w:t>
      </w:r>
      <w:r>
        <w:rPr>
          <w:lang w:eastAsia="en-GB"/>
        </w:rPr>
        <w:t>e Ministry of Justice data</w:t>
      </w:r>
      <w:r w:rsidRPr="0051740A">
        <w:rPr>
          <w:lang w:eastAsia="en-GB"/>
        </w:rPr>
        <w:t xml:space="preserve"> consists of three tables, covering ‘Civil representation, applications received in period and grant </w:t>
      </w:r>
      <w:proofErr w:type="gramStart"/>
      <w:r w:rsidRPr="0051740A">
        <w:rPr>
          <w:lang w:eastAsia="en-GB"/>
        </w:rPr>
        <w:t>status’</w:t>
      </w:r>
      <w:proofErr w:type="gramEnd"/>
      <w:r w:rsidRPr="0051740A">
        <w:rPr>
          <w:lang w:eastAsia="en-GB"/>
        </w:rPr>
        <w:t>; ‘Civil representation, certificates granted in period’; and ‘Civil representation, certificates completed’.</w:t>
      </w:r>
      <w:r>
        <w:rPr>
          <w:rStyle w:val="FootnoteReference"/>
          <w:rFonts w:ascii="Calibri" w:hAnsi="Calibri" w:cs="Times New Roman"/>
          <w:color w:val="000000" w:themeColor="text1"/>
          <w:lang w:eastAsia="en-GB"/>
        </w:rPr>
        <w:footnoteReference w:id="1"/>
      </w:r>
    </w:p>
    <w:p w:rsidR="00BC2067" w:rsidRPr="00941448" w:rsidRDefault="00BC2067" w:rsidP="00941448">
      <w:pPr>
        <w:pStyle w:val="Parabeforetable"/>
      </w:pPr>
      <w:r>
        <w:t xml:space="preserve">Table 1.1 shows the total number of PFC Discrimination and PFC Other Category (Discrimination) grants between 2013/14 and 2017/18. </w:t>
      </w:r>
    </w:p>
    <w:p w:rsidR="00941448" w:rsidRDefault="00941448">
      <w:pPr>
        <w:spacing w:after="160" w:line="259" w:lineRule="auto"/>
        <w:rPr>
          <w:rFonts w:cs="Arial"/>
          <w:b/>
          <w:noProof/>
          <w:color w:val="505759"/>
          <w:szCs w:val="24"/>
          <w:lang w:eastAsia="en-GB"/>
        </w:rPr>
      </w:pPr>
      <w:r>
        <w:rPr>
          <w:noProof/>
        </w:rPr>
        <w:br w:type="page"/>
      </w:r>
    </w:p>
    <w:p w:rsidR="00BC2067" w:rsidRDefault="00BC2067" w:rsidP="00941448">
      <w:pPr>
        <w:pStyle w:val="Title-tablesgrey"/>
        <w:rPr>
          <w:noProof/>
        </w:rPr>
      </w:pPr>
      <w:bookmarkStart w:id="12" w:name="_Toc11795946"/>
      <w:r>
        <w:rPr>
          <w:noProof/>
        </w:rPr>
        <w:lastRenderedPageBreak/>
        <w:t>Table 1.1</w:t>
      </w:r>
      <w:r>
        <w:rPr>
          <w:noProof/>
        </w:rPr>
        <w:tab/>
        <w:t>Total number of PFC grants, 2013/14 to 2017/18</w:t>
      </w:r>
      <w:bookmarkEnd w:id="12"/>
    </w:p>
    <w:p w:rsidR="00BC2067" w:rsidRPr="00941448" w:rsidRDefault="00BC2067" w:rsidP="00BC2067">
      <w:pPr>
        <w:spacing w:line="240" w:lineRule="auto"/>
        <w:jc w:val="both"/>
        <w:rPr>
          <w:rFonts w:asciiTheme="minorBidi" w:hAnsiTheme="minorBidi" w:cstheme="minorBidi"/>
          <w:b/>
          <w:noProof/>
          <w:color w:val="000000" w:themeColor="text1"/>
          <w:szCs w:val="24"/>
        </w:rPr>
      </w:pPr>
    </w:p>
    <w:tbl>
      <w:tblPr>
        <w:tblStyle w:val="TableGrid"/>
        <w:tblW w:w="0" w:type="auto"/>
        <w:tblLook w:val="04A0" w:firstRow="1" w:lastRow="0" w:firstColumn="1" w:lastColumn="0" w:noHBand="0" w:noVBand="1"/>
        <w:tblDescription w:val="Table 1.1 Total number of PFC grants, 2013/14 to 2017/18"/>
      </w:tblPr>
      <w:tblGrid>
        <w:gridCol w:w="2254"/>
        <w:gridCol w:w="2254"/>
        <w:gridCol w:w="2254"/>
        <w:gridCol w:w="2254"/>
      </w:tblGrid>
      <w:tr w:rsidR="00651572" w:rsidTr="00651572">
        <w:trPr>
          <w:tblHeader/>
        </w:trPr>
        <w:tc>
          <w:tcPr>
            <w:tcW w:w="2254" w:type="dxa"/>
          </w:tcPr>
          <w:p w:rsidR="00651572" w:rsidRDefault="00651572" w:rsidP="00651572">
            <w:pPr>
              <w:spacing w:line="240" w:lineRule="auto"/>
              <w:jc w:val="both"/>
              <w:rPr>
                <w:rFonts w:asciiTheme="minorBidi" w:hAnsiTheme="minorBidi" w:cstheme="minorBidi"/>
                <w:b/>
                <w:noProof/>
                <w:color w:val="000000" w:themeColor="text1"/>
                <w:szCs w:val="24"/>
              </w:rPr>
            </w:pPr>
            <w:r>
              <w:rPr>
                <w:rFonts w:asciiTheme="minorBidi" w:hAnsiTheme="minorBidi" w:cstheme="minorBidi"/>
                <w:b/>
                <w:noProof/>
                <w:color w:val="000000" w:themeColor="text1"/>
                <w:szCs w:val="24"/>
              </w:rPr>
              <w:t>Year</w:t>
            </w:r>
          </w:p>
        </w:tc>
        <w:tc>
          <w:tcPr>
            <w:tcW w:w="2254" w:type="dxa"/>
          </w:tcPr>
          <w:p w:rsidR="00651572" w:rsidRDefault="00651572" w:rsidP="00651572">
            <w:pPr>
              <w:spacing w:line="240" w:lineRule="auto"/>
              <w:jc w:val="both"/>
              <w:rPr>
                <w:rFonts w:asciiTheme="minorBidi" w:hAnsiTheme="minorBidi" w:cstheme="minorBidi"/>
                <w:b/>
                <w:noProof/>
                <w:color w:val="000000" w:themeColor="text1"/>
                <w:szCs w:val="24"/>
              </w:rPr>
            </w:pPr>
            <w:r>
              <w:rPr>
                <w:rFonts w:asciiTheme="minorBidi" w:hAnsiTheme="minorBidi" w:cstheme="minorBidi"/>
                <w:b/>
                <w:noProof/>
                <w:color w:val="000000" w:themeColor="text1"/>
                <w:szCs w:val="24"/>
              </w:rPr>
              <w:t>PFC discrimination</w:t>
            </w:r>
          </w:p>
        </w:tc>
        <w:tc>
          <w:tcPr>
            <w:tcW w:w="2254" w:type="dxa"/>
          </w:tcPr>
          <w:p w:rsidR="00651572" w:rsidRDefault="00651572" w:rsidP="00651572">
            <w:pPr>
              <w:spacing w:line="240" w:lineRule="auto"/>
              <w:rPr>
                <w:rFonts w:asciiTheme="minorBidi" w:hAnsiTheme="minorBidi" w:cstheme="minorBidi"/>
                <w:b/>
                <w:noProof/>
                <w:color w:val="000000" w:themeColor="text1"/>
                <w:szCs w:val="24"/>
              </w:rPr>
            </w:pPr>
            <w:r>
              <w:rPr>
                <w:rFonts w:asciiTheme="minorBidi" w:hAnsiTheme="minorBidi" w:cstheme="minorBidi"/>
                <w:b/>
                <w:noProof/>
                <w:color w:val="000000" w:themeColor="text1"/>
                <w:szCs w:val="24"/>
              </w:rPr>
              <w:t>PFC Other category (Discrimination) grants</w:t>
            </w:r>
          </w:p>
        </w:tc>
        <w:tc>
          <w:tcPr>
            <w:tcW w:w="2254" w:type="dxa"/>
          </w:tcPr>
          <w:p w:rsidR="00651572" w:rsidRDefault="00651572" w:rsidP="00651572">
            <w:pPr>
              <w:spacing w:line="240" w:lineRule="auto"/>
              <w:jc w:val="both"/>
              <w:rPr>
                <w:rFonts w:asciiTheme="minorBidi" w:hAnsiTheme="minorBidi" w:cstheme="minorBidi"/>
                <w:b/>
                <w:noProof/>
                <w:color w:val="000000" w:themeColor="text1"/>
                <w:szCs w:val="24"/>
              </w:rPr>
            </w:pPr>
            <w:r>
              <w:rPr>
                <w:rFonts w:asciiTheme="minorBidi" w:hAnsiTheme="minorBidi" w:cstheme="minorBidi"/>
                <w:b/>
                <w:noProof/>
                <w:color w:val="000000" w:themeColor="text1"/>
                <w:szCs w:val="24"/>
              </w:rPr>
              <w:t>Total grants</w:t>
            </w:r>
          </w:p>
        </w:tc>
      </w:tr>
    </w:tbl>
    <w:p w:rsidR="00BC2067" w:rsidRPr="00941448" w:rsidRDefault="00BC2067" w:rsidP="00BC2067">
      <w:pPr>
        <w:spacing w:line="240" w:lineRule="auto"/>
        <w:jc w:val="both"/>
        <w:rPr>
          <w:rFonts w:asciiTheme="minorBidi" w:hAnsiTheme="minorBidi" w:cstheme="minorBidi"/>
          <w:noProof/>
          <w:color w:val="000000" w:themeColor="text1"/>
          <w:szCs w:val="24"/>
        </w:rPr>
      </w:pPr>
      <w:r w:rsidRPr="00941448">
        <w:rPr>
          <w:rFonts w:asciiTheme="minorBidi" w:hAnsiTheme="minorBidi" w:cstheme="minorBidi"/>
          <w:noProof/>
          <w:szCs w:val="24"/>
          <w:lang w:eastAsia="en-GB"/>
        </w:rPr>
        <w:drawing>
          <wp:inline distT="0" distB="0" distL="0" distR="0" wp14:anchorId="54AC5362" wp14:editId="7207C57E">
            <wp:extent cx="5079600" cy="1468800"/>
            <wp:effectExtent l="0" t="0" r="6985" b="0"/>
            <wp:docPr id="1" name="Picture 1" descr="Table 1.1 Total number of PFC grants, 2013/14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t="37186" b="-1"/>
                    <a:stretch/>
                  </pic:blipFill>
                  <pic:spPr bwMode="auto">
                    <a:xfrm>
                      <a:off x="0" y="0"/>
                      <a:ext cx="5079600" cy="1468800"/>
                    </a:xfrm>
                    <a:prstGeom prst="rect">
                      <a:avLst/>
                    </a:prstGeom>
                    <a:noFill/>
                    <a:ln>
                      <a:noFill/>
                    </a:ln>
                    <a:extLst>
                      <a:ext uri="{53640926-AAD7-44D8-BBD7-CCE9431645EC}">
                        <a14:shadowObscured xmlns:a14="http://schemas.microsoft.com/office/drawing/2010/main"/>
                      </a:ext>
                    </a:extLst>
                  </pic:spPr>
                </pic:pic>
              </a:graphicData>
            </a:graphic>
          </wp:inline>
        </w:drawing>
      </w:r>
    </w:p>
    <w:p w:rsidR="00BC2067" w:rsidRPr="00941448" w:rsidRDefault="00BC2067" w:rsidP="00BC2067">
      <w:pPr>
        <w:jc w:val="both"/>
        <w:rPr>
          <w:rFonts w:asciiTheme="minorBidi" w:hAnsiTheme="minorBidi" w:cstheme="minorBidi"/>
          <w:color w:val="000000" w:themeColor="text1"/>
        </w:rPr>
      </w:pPr>
    </w:p>
    <w:p w:rsidR="00BC2067" w:rsidRDefault="00BC2067" w:rsidP="00BC2067">
      <w:pPr>
        <w:rPr>
          <w:b/>
          <w:color w:val="000000" w:themeColor="text1"/>
          <w:sz w:val="36"/>
          <w:highlight w:val="lightGray"/>
        </w:rPr>
      </w:pPr>
    </w:p>
    <w:p w:rsidR="00172390" w:rsidRDefault="00172390" w:rsidP="00BC2067">
      <w:pPr>
        <w:spacing w:before="120"/>
        <w:jc w:val="both"/>
        <w:rPr>
          <w:b/>
          <w:color w:val="000000" w:themeColor="text1"/>
          <w:sz w:val="36"/>
          <w:szCs w:val="36"/>
        </w:rPr>
        <w:sectPr w:rsidR="00172390" w:rsidSect="00BC2067">
          <w:headerReference w:type="default" r:id="rId13"/>
          <w:headerReference w:type="first" r:id="rId14"/>
          <w:footerReference w:type="first" r:id="rId15"/>
          <w:pgSz w:w="11906" w:h="16838"/>
          <w:pgMar w:top="1440" w:right="1440" w:bottom="1440" w:left="1440" w:header="708" w:footer="708" w:gutter="0"/>
          <w:pgNumType w:start="2"/>
          <w:cols w:space="708"/>
          <w:titlePg/>
          <w:docGrid w:linePitch="360"/>
        </w:sectPr>
      </w:pPr>
    </w:p>
    <w:p w:rsidR="00BC2067" w:rsidRPr="00172390" w:rsidRDefault="00BC2067" w:rsidP="00172390">
      <w:pPr>
        <w:pStyle w:val="Title-chaptergrey"/>
      </w:pPr>
      <w:bookmarkStart w:id="13" w:name="_Toc11795947"/>
      <w:r>
        <w:lastRenderedPageBreak/>
        <w:t xml:space="preserve">2. </w:t>
      </w:r>
      <w:r w:rsidRPr="00AC7664">
        <w:t xml:space="preserve">PFCs </w:t>
      </w:r>
      <w:r>
        <w:t>granted: Discrimination category</w:t>
      </w:r>
      <w:bookmarkEnd w:id="13"/>
    </w:p>
    <w:p w:rsidR="00BC2067" w:rsidRPr="00167C4A" w:rsidRDefault="00BC2067" w:rsidP="00172390">
      <w:pPr>
        <w:pStyle w:val="Parabeforeanother"/>
        <w:rPr>
          <w:noProof/>
        </w:rPr>
      </w:pPr>
      <w:r w:rsidRPr="00167C4A">
        <w:t xml:space="preserve">In this section, we examine grants for PFCs in the </w:t>
      </w:r>
      <w:r>
        <w:t>D</w:t>
      </w:r>
      <w:r w:rsidRPr="00167C4A">
        <w:t>iscrimination category of law.</w:t>
      </w:r>
      <w:r>
        <w:t xml:space="preserve"> </w:t>
      </w:r>
    </w:p>
    <w:p w:rsidR="00BC2067" w:rsidRPr="00172390" w:rsidRDefault="00BC2067" w:rsidP="00172390">
      <w:pPr>
        <w:pStyle w:val="Parabeforeanother"/>
        <w:rPr>
          <w:noProof/>
        </w:rPr>
      </w:pPr>
      <w:r w:rsidRPr="00167C4A">
        <w:rPr>
          <w:noProof/>
        </w:rPr>
        <w:t xml:space="preserve">As Table </w:t>
      </w:r>
      <w:r>
        <w:rPr>
          <w:noProof/>
        </w:rPr>
        <w:t>1</w:t>
      </w:r>
      <w:r w:rsidRPr="00167C4A">
        <w:rPr>
          <w:noProof/>
        </w:rPr>
        <w:t>.1 shows, the</w:t>
      </w:r>
      <w:r>
        <w:rPr>
          <w:noProof/>
        </w:rPr>
        <w:t xml:space="preserve"> LAA dataset showed </w:t>
      </w:r>
      <w:r w:rsidRPr="00167C4A">
        <w:rPr>
          <w:noProof/>
        </w:rPr>
        <w:t xml:space="preserve">43 PFC </w:t>
      </w:r>
      <w:r>
        <w:rPr>
          <w:noProof/>
        </w:rPr>
        <w:t>Discrimination</w:t>
      </w:r>
      <w:r w:rsidRPr="00167C4A">
        <w:rPr>
          <w:noProof/>
        </w:rPr>
        <w:t xml:space="preserve"> grants in total between 2013</w:t>
      </w:r>
      <w:r>
        <w:rPr>
          <w:noProof/>
        </w:rPr>
        <w:t>/</w:t>
      </w:r>
      <w:r w:rsidRPr="00167C4A">
        <w:rPr>
          <w:noProof/>
        </w:rPr>
        <w:t>14 and 2017</w:t>
      </w:r>
      <w:r>
        <w:rPr>
          <w:noProof/>
        </w:rPr>
        <w:t>/</w:t>
      </w:r>
      <w:r w:rsidRPr="00167C4A">
        <w:rPr>
          <w:noProof/>
        </w:rPr>
        <w:t xml:space="preserve">18. </w:t>
      </w:r>
      <w:r>
        <w:rPr>
          <w:noProof/>
        </w:rPr>
        <w:t>N</w:t>
      </w:r>
      <w:r w:rsidRPr="00167C4A">
        <w:rPr>
          <w:noProof/>
        </w:rPr>
        <w:t>o grants were made in 2013</w:t>
      </w:r>
      <w:r>
        <w:rPr>
          <w:noProof/>
        </w:rPr>
        <w:t>/</w:t>
      </w:r>
      <w:r w:rsidRPr="00167C4A">
        <w:rPr>
          <w:noProof/>
        </w:rPr>
        <w:t>14</w:t>
      </w:r>
      <w:r>
        <w:rPr>
          <w:noProof/>
        </w:rPr>
        <w:t xml:space="preserve"> and </w:t>
      </w:r>
      <w:r w:rsidRPr="00167C4A">
        <w:rPr>
          <w:noProof/>
        </w:rPr>
        <w:t>the highest number of grants w</w:t>
      </w:r>
      <w:r>
        <w:rPr>
          <w:noProof/>
        </w:rPr>
        <w:t>ere made</w:t>
      </w:r>
      <w:r w:rsidRPr="00167C4A">
        <w:rPr>
          <w:noProof/>
        </w:rPr>
        <w:t xml:space="preserve"> in 2016</w:t>
      </w:r>
      <w:r>
        <w:rPr>
          <w:noProof/>
        </w:rPr>
        <w:t>/</w:t>
      </w:r>
      <w:r w:rsidRPr="00167C4A">
        <w:rPr>
          <w:noProof/>
        </w:rPr>
        <w:t>17.</w:t>
      </w:r>
    </w:p>
    <w:p w:rsidR="00BC2067" w:rsidRPr="00172390" w:rsidRDefault="00BC2067" w:rsidP="00172390">
      <w:pPr>
        <w:pStyle w:val="Parabeforetable"/>
      </w:pPr>
      <w:r>
        <w:t>Table 2.1 presents data on PFC applications and grants from legal aid statistics published by the Ministry of Justice for selected categories. W</w:t>
      </w:r>
      <w:r w:rsidRPr="00167C4A">
        <w:t>e found a small difference</w:t>
      </w:r>
      <w:r w:rsidRPr="009E3BDD">
        <w:t xml:space="preserve"> </w:t>
      </w:r>
      <w:r>
        <w:t>between the Ministry of Justice’s and LAA’s datasets</w:t>
      </w:r>
      <w:r w:rsidRPr="00167C4A">
        <w:t xml:space="preserve"> in the total number of applications granted in the </w:t>
      </w:r>
      <w:r>
        <w:t>D</w:t>
      </w:r>
      <w:r w:rsidRPr="00167C4A">
        <w:t>iscrimination category over the period as a whole</w:t>
      </w:r>
      <w:r>
        <w:t xml:space="preserve">. There were </w:t>
      </w:r>
      <w:r w:rsidRPr="00167C4A">
        <w:t xml:space="preserve">larger differences when year-on-year data </w:t>
      </w:r>
      <w:r>
        <w:t xml:space="preserve">was </w:t>
      </w:r>
      <w:r w:rsidRPr="00167C4A">
        <w:t>compared</w:t>
      </w:r>
      <w:r>
        <w:t xml:space="preserve"> (this data is not shown in Table 2.2)</w:t>
      </w:r>
      <w:r w:rsidRPr="00167C4A">
        <w:t>.</w:t>
      </w:r>
      <w:r>
        <w:t xml:space="preserve"> Due to the different sources, the total number of Discrimination grants shown in Table 2.1 is therefore 45 rather than 43 as it is in Table 1.1. </w:t>
      </w:r>
      <w:r w:rsidRPr="00167C4A">
        <w:t xml:space="preserve">Our understanding is that official </w:t>
      </w:r>
      <w:r>
        <w:t>Ministry of Justice</w:t>
      </w:r>
      <w:r w:rsidRPr="00167C4A">
        <w:t xml:space="preserve"> statistics are generated using extract and reporting requirements </w:t>
      </w:r>
      <w:r>
        <w:t>different from</w:t>
      </w:r>
      <w:r w:rsidRPr="00167C4A">
        <w:t xml:space="preserve"> those used to provide </w:t>
      </w:r>
      <w:r>
        <w:t xml:space="preserve">the LAA dataset on which this report focuses. </w:t>
      </w:r>
    </w:p>
    <w:p w:rsidR="00BC2067" w:rsidRPr="005B0583" w:rsidRDefault="00BC2067" w:rsidP="00172390">
      <w:pPr>
        <w:pStyle w:val="Title-tablesgrey"/>
        <w:rPr>
          <w:noProof/>
        </w:rPr>
      </w:pPr>
      <w:bookmarkStart w:id="14" w:name="_Toc11795948"/>
      <w:r>
        <w:rPr>
          <w:noProof/>
        </w:rPr>
        <w:t>Table 2.1</w:t>
      </w:r>
      <w:r>
        <w:rPr>
          <w:noProof/>
        </w:rPr>
        <w:tab/>
        <w:t>PFC applications and grants for selected categories, 2013/14 to 2017/18</w:t>
      </w:r>
      <w:bookmarkEnd w:id="14"/>
    </w:p>
    <w:p w:rsidR="00BC2067" w:rsidRPr="00167C4A" w:rsidRDefault="00BC2067" w:rsidP="00BC2067">
      <w:pPr>
        <w:spacing w:line="240" w:lineRule="auto"/>
        <w:jc w:val="both"/>
        <w:rPr>
          <w:rFonts w:cstheme="minorHAnsi"/>
          <w:color w:val="000000" w:themeColor="text1"/>
          <w:szCs w:val="24"/>
        </w:rPr>
      </w:pPr>
    </w:p>
    <w:p w:rsidR="00BC2067" w:rsidRPr="00167C4A" w:rsidRDefault="00BC2067" w:rsidP="00BC2067">
      <w:pPr>
        <w:spacing w:line="240" w:lineRule="auto"/>
        <w:jc w:val="both"/>
        <w:rPr>
          <w:rFonts w:cstheme="minorHAnsi"/>
          <w:color w:val="000000" w:themeColor="text1"/>
          <w:szCs w:val="24"/>
        </w:rPr>
      </w:pPr>
      <w:r>
        <w:rPr>
          <w:noProof/>
          <w:lang w:eastAsia="en-GB"/>
        </w:rPr>
        <w:drawing>
          <wp:inline distT="0" distB="0" distL="0" distR="0" wp14:anchorId="2F306C62" wp14:editId="6FBABDF2">
            <wp:extent cx="5731510" cy="2600325"/>
            <wp:effectExtent l="0" t="0" r="2540" b="9525"/>
            <wp:docPr id="2" name="Picture 2" descr="Table 2.1 PFC applications and grants for selected categories, 2013/14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3646" cy="2601294"/>
                    </a:xfrm>
                    <a:prstGeom prst="rect">
                      <a:avLst/>
                    </a:prstGeom>
                  </pic:spPr>
                </pic:pic>
              </a:graphicData>
            </a:graphic>
          </wp:inline>
        </w:drawing>
      </w:r>
    </w:p>
    <w:p w:rsidR="00BC2067" w:rsidRPr="00167C4A" w:rsidRDefault="00BC2067" w:rsidP="00BC2067">
      <w:pPr>
        <w:spacing w:line="240" w:lineRule="auto"/>
        <w:jc w:val="both"/>
        <w:rPr>
          <w:rFonts w:cstheme="minorHAnsi"/>
          <w:color w:val="000000" w:themeColor="text1"/>
          <w:szCs w:val="24"/>
        </w:rPr>
      </w:pPr>
    </w:p>
    <w:p w:rsidR="00BC2067" w:rsidRPr="00167C4A" w:rsidRDefault="00BC2067" w:rsidP="00172390">
      <w:pPr>
        <w:pStyle w:val="Tablenotes"/>
      </w:pPr>
      <w:r w:rsidRPr="00167C4A">
        <w:lastRenderedPageBreak/>
        <w:t xml:space="preserve">Note: The </w:t>
      </w:r>
      <w:r>
        <w:t>total (all categories) figures</w:t>
      </w:r>
      <w:r w:rsidRPr="00167C4A">
        <w:t xml:space="preserve"> include family, immigration and mental health cases, as well as other non-family categories, such as clinical negligence. </w:t>
      </w:r>
      <w:r>
        <w:t>‘</w:t>
      </w:r>
      <w:r w:rsidRPr="00167C4A">
        <w:t>Family</w:t>
      </w:r>
      <w:r>
        <w:t>’</w:t>
      </w:r>
      <w:r w:rsidRPr="00167C4A">
        <w:t xml:space="preserve"> </w:t>
      </w:r>
      <w:r>
        <w:t xml:space="preserve">represents </w:t>
      </w:r>
      <w:r w:rsidRPr="00167C4A">
        <w:t>by far the largest category of all applications every year (85.4% in 2017</w:t>
      </w:r>
      <w:r>
        <w:t>/</w:t>
      </w:r>
      <w:r w:rsidRPr="00167C4A">
        <w:t xml:space="preserve">18, for example). </w:t>
      </w:r>
    </w:p>
    <w:p w:rsidR="00BC2067" w:rsidRDefault="00BC2067" w:rsidP="00BC2067">
      <w:pPr>
        <w:spacing w:line="240" w:lineRule="auto"/>
        <w:jc w:val="both"/>
        <w:rPr>
          <w:rFonts w:cstheme="minorHAnsi"/>
          <w:color w:val="000000" w:themeColor="text1"/>
          <w:szCs w:val="24"/>
        </w:rPr>
      </w:pPr>
    </w:p>
    <w:p w:rsidR="00BC2067" w:rsidRPr="00172390" w:rsidRDefault="00BC2067" w:rsidP="00172390">
      <w:pPr>
        <w:pStyle w:val="Tablenotes"/>
        <w:spacing w:after="420"/>
        <w:rPr>
          <w:rFonts w:cstheme="minorHAnsi"/>
          <w:color w:val="000000" w:themeColor="text1"/>
        </w:rPr>
      </w:pPr>
      <w:r w:rsidRPr="00AC7664">
        <w:t>Source: Ministry of Justice</w:t>
      </w:r>
      <w:hyperlink r:id="rId17" w:history="1">
        <w:r w:rsidRPr="00172390">
          <w:rPr>
            <w:rStyle w:val="Hyperlink"/>
          </w:rPr>
          <w:t xml:space="preserve">, </w:t>
        </w:r>
        <w:r w:rsidR="00172390" w:rsidRPr="00172390">
          <w:rPr>
            <w:rStyle w:val="Hyperlink"/>
          </w:rPr>
          <w:t>‘</w:t>
        </w:r>
        <w:r w:rsidRPr="00172390">
          <w:rPr>
            <w:rStyle w:val="Hyperlink"/>
            <w:iCs/>
          </w:rPr>
          <w:t>Legal Aid Statistics England and Wales Tables July to September 2018</w:t>
        </w:r>
        <w:r w:rsidR="00172390" w:rsidRPr="00172390">
          <w:rPr>
            <w:rStyle w:val="Hyperlink"/>
            <w:iCs/>
          </w:rPr>
          <w:t>’</w:t>
        </w:r>
      </w:hyperlink>
      <w:r>
        <w:t>,</w:t>
      </w:r>
      <w:r w:rsidRPr="00AC7664">
        <w:t xml:space="preserve"> Tables 6.1 and 6.2.</w:t>
      </w:r>
    </w:p>
    <w:p w:rsidR="00BC2067" w:rsidRPr="00172390" w:rsidRDefault="00BC2067" w:rsidP="00172390">
      <w:pPr>
        <w:pStyle w:val="Parabeforetable"/>
      </w:pPr>
      <w:r w:rsidRPr="00167C4A">
        <w:t>Table 2.</w:t>
      </w:r>
      <w:r>
        <w:t>1</w:t>
      </w:r>
      <w:r w:rsidRPr="00167C4A">
        <w:t xml:space="preserve"> shows</w:t>
      </w:r>
      <w:r>
        <w:t xml:space="preserve"> that,</w:t>
      </w:r>
      <w:r w:rsidRPr="00167C4A">
        <w:t xml:space="preserve"> </w:t>
      </w:r>
      <w:r>
        <w:t xml:space="preserve">although overall </w:t>
      </w:r>
      <w:r w:rsidRPr="00167C4A">
        <w:t xml:space="preserve">a high proportion of total applications result in grants </w:t>
      </w:r>
      <w:r>
        <w:t>(91%)</w:t>
      </w:r>
      <w:r w:rsidRPr="00167C4A">
        <w:t xml:space="preserve">, </w:t>
      </w:r>
      <w:r>
        <w:t>within the D</w:t>
      </w:r>
      <w:r w:rsidRPr="00167C4A">
        <w:t xml:space="preserve">iscrimination </w:t>
      </w:r>
      <w:r>
        <w:t xml:space="preserve">category </w:t>
      </w:r>
      <w:r w:rsidRPr="00167C4A">
        <w:t>only 45% of applications between 2013</w:t>
      </w:r>
      <w:r>
        <w:t>/</w:t>
      </w:r>
      <w:r w:rsidRPr="00167C4A">
        <w:t>14 and 2017</w:t>
      </w:r>
      <w:r>
        <w:t>/</w:t>
      </w:r>
      <w:r w:rsidRPr="00167C4A">
        <w:t xml:space="preserve">18 resulted in grants. </w:t>
      </w:r>
      <w:r>
        <w:t>Of all the categories listed in the table, the proportion of applications resulting in grants was the lowest for the Discrimination category by a considerable margin.</w:t>
      </w:r>
    </w:p>
    <w:p w:rsidR="00BC2067" w:rsidRPr="00167C4A" w:rsidRDefault="00BC2067" w:rsidP="00172390">
      <w:pPr>
        <w:pStyle w:val="Title-tablesgrey"/>
      </w:pPr>
      <w:bookmarkStart w:id="15" w:name="_Toc11795949"/>
      <w:r>
        <w:t>Figure 2.2</w:t>
      </w:r>
      <w:r>
        <w:tab/>
        <w:t>Total number of PFC Discrimination grants by category of law</w:t>
      </w:r>
      <w:bookmarkEnd w:id="15"/>
    </w:p>
    <w:p w:rsidR="00BC2067" w:rsidRPr="00D54D4F" w:rsidRDefault="00BC2067" w:rsidP="00BC2067">
      <w:pPr>
        <w:spacing w:line="240" w:lineRule="auto"/>
        <w:jc w:val="both"/>
        <w:rPr>
          <w:rFonts w:cstheme="minorHAnsi"/>
          <w:b/>
          <w:color w:val="000000" w:themeColor="text1"/>
          <w:szCs w:val="24"/>
        </w:rPr>
      </w:pPr>
      <w:r>
        <w:rPr>
          <w:noProof/>
          <w:lang w:eastAsia="en-GB"/>
        </w:rPr>
        <w:drawing>
          <wp:inline distT="0" distB="0" distL="0" distR="0" wp14:anchorId="6A15DEA7" wp14:editId="640BA2AE">
            <wp:extent cx="5731510" cy="551815"/>
            <wp:effectExtent l="0" t="0" r="2540" b="635"/>
            <wp:docPr id="3" name="Picture 3" descr="Figure 2.2 Total number of PFC Discrimination grants by category of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551815"/>
                    </a:xfrm>
                    <a:prstGeom prst="rect">
                      <a:avLst/>
                    </a:prstGeom>
                    <a:noFill/>
                    <a:ln>
                      <a:noFill/>
                    </a:ln>
                  </pic:spPr>
                </pic:pic>
              </a:graphicData>
            </a:graphic>
          </wp:inline>
        </w:drawing>
      </w:r>
    </w:p>
    <w:p w:rsidR="00BC2067" w:rsidRDefault="00BC2067" w:rsidP="00BC2067">
      <w:pPr>
        <w:spacing w:line="240" w:lineRule="auto"/>
        <w:jc w:val="both"/>
        <w:rPr>
          <w:rFonts w:cstheme="minorHAnsi"/>
          <w:b/>
          <w:color w:val="000000" w:themeColor="text1"/>
          <w:szCs w:val="24"/>
        </w:rPr>
      </w:pPr>
    </w:p>
    <w:p w:rsidR="00BC2067" w:rsidRDefault="00BC2067" w:rsidP="00172390">
      <w:pPr>
        <w:pStyle w:val="Tablenotes"/>
      </w:pPr>
      <w:r>
        <w:t>Note: Null refers to the fact that the specific fields were not populated in the dataset.</w:t>
      </w:r>
    </w:p>
    <w:p w:rsidR="00BC2067" w:rsidRPr="00172390" w:rsidRDefault="00BC2067" w:rsidP="00172390">
      <w:pPr>
        <w:pStyle w:val="Tablenotes"/>
        <w:spacing w:after="420"/>
      </w:pPr>
      <w:r>
        <w:t>Base: All PFC Discrimination grants (43).</w:t>
      </w:r>
    </w:p>
    <w:p w:rsidR="00BC2067" w:rsidRPr="00172390" w:rsidRDefault="00BC2067" w:rsidP="00172390">
      <w:pPr>
        <w:pStyle w:val="Parabeforetable"/>
      </w:pPr>
      <w:r>
        <w:t>Figure 2.2 shows that of the 43 PFC Discrimination grants, 36 were in the Discrimination category of law; the other 7 cases were not included in the dataset.</w:t>
      </w:r>
    </w:p>
    <w:p w:rsidR="00BC2067" w:rsidRPr="005B0583" w:rsidRDefault="00BC2067" w:rsidP="00172390">
      <w:pPr>
        <w:pStyle w:val="Title-tablesgrey"/>
      </w:pPr>
      <w:bookmarkStart w:id="16" w:name="_Toc11795950"/>
      <w:r>
        <w:t>Figure 2.3</w:t>
      </w:r>
      <w:r>
        <w:tab/>
        <w:t>Total number of PFC Discrimination grants by disability</w:t>
      </w:r>
      <w:bookmarkEnd w:id="16"/>
    </w:p>
    <w:p w:rsidR="00BC2067" w:rsidRPr="00167C4A" w:rsidRDefault="00BC2067" w:rsidP="00BC2067">
      <w:pPr>
        <w:spacing w:line="240" w:lineRule="auto"/>
        <w:jc w:val="both"/>
        <w:rPr>
          <w:rFonts w:cstheme="minorHAnsi"/>
          <w:color w:val="000000" w:themeColor="text1"/>
          <w:szCs w:val="24"/>
        </w:rPr>
      </w:pPr>
      <w:r w:rsidRPr="00167C4A">
        <w:rPr>
          <w:rFonts w:cstheme="minorHAnsi"/>
          <w:noProof/>
          <w:szCs w:val="24"/>
          <w:lang w:eastAsia="en-GB"/>
        </w:rPr>
        <w:drawing>
          <wp:inline distT="0" distB="0" distL="0" distR="0" wp14:anchorId="2D6CCA46" wp14:editId="4198A9D5">
            <wp:extent cx="5731510" cy="1525701"/>
            <wp:effectExtent l="0" t="0" r="2540" b="0"/>
            <wp:docPr id="4" name="Picture 4" descr="Figure 2.3 Total number of PFC Discrimination grants by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9">
                      <a:extLst>
                        <a:ext uri="{28A0092B-C50C-407E-A947-70E740481C1C}">
                          <a14:useLocalDpi xmlns:a14="http://schemas.microsoft.com/office/drawing/2010/main" val="0"/>
                        </a:ext>
                      </a:extLst>
                    </a:blip>
                    <a:srcRect t="18137"/>
                    <a:stretch/>
                  </pic:blipFill>
                  <pic:spPr bwMode="auto">
                    <a:xfrm>
                      <a:off x="0" y="0"/>
                      <a:ext cx="5731510" cy="1525701"/>
                    </a:xfrm>
                    <a:prstGeom prst="rect">
                      <a:avLst/>
                    </a:prstGeom>
                    <a:noFill/>
                    <a:ln>
                      <a:noFill/>
                    </a:ln>
                    <a:extLst>
                      <a:ext uri="{53640926-AAD7-44D8-BBD7-CCE9431645EC}">
                        <a14:shadowObscured xmlns:a14="http://schemas.microsoft.com/office/drawing/2010/main"/>
                      </a:ext>
                    </a:extLst>
                  </pic:spPr>
                </pic:pic>
              </a:graphicData>
            </a:graphic>
          </wp:inline>
        </w:drawing>
      </w:r>
    </w:p>
    <w:p w:rsidR="00BC2067" w:rsidRPr="00167C4A" w:rsidRDefault="00BC2067" w:rsidP="00BC2067">
      <w:pPr>
        <w:spacing w:line="240" w:lineRule="auto"/>
        <w:jc w:val="both"/>
        <w:rPr>
          <w:rFonts w:cstheme="minorHAnsi"/>
          <w:color w:val="000000" w:themeColor="text1"/>
          <w:szCs w:val="24"/>
        </w:rPr>
      </w:pPr>
    </w:p>
    <w:p w:rsidR="00BC2067" w:rsidRDefault="00BC2067" w:rsidP="00172390">
      <w:pPr>
        <w:pStyle w:val="Tablenotes"/>
      </w:pPr>
      <w:r w:rsidRPr="00167C4A">
        <w:t xml:space="preserve">Note: This data relates to self-declared disability or illness. The CIS dataset did not contain this information; therefore the 7 Null cases are related to this dataset. </w:t>
      </w:r>
    </w:p>
    <w:p w:rsidR="00172390" w:rsidRDefault="00172390" w:rsidP="00172390">
      <w:pPr>
        <w:pStyle w:val="Tablenotes"/>
      </w:pPr>
    </w:p>
    <w:p w:rsidR="00BC2067" w:rsidRPr="00172390" w:rsidRDefault="00BC2067" w:rsidP="00172390">
      <w:pPr>
        <w:pStyle w:val="Tablenotes"/>
        <w:spacing w:after="420"/>
      </w:pPr>
      <w:r w:rsidDel="00024EFE">
        <w:t xml:space="preserve">Base: All PFC </w:t>
      </w:r>
      <w:r>
        <w:t>D</w:t>
      </w:r>
      <w:r w:rsidDel="00024EFE">
        <w:t>iscrimination grants (43)</w:t>
      </w:r>
      <w:r>
        <w:t>.</w:t>
      </w:r>
    </w:p>
    <w:p w:rsidR="00BC2067" w:rsidRPr="00172390" w:rsidRDefault="00BC2067" w:rsidP="00172390">
      <w:pPr>
        <w:pStyle w:val="Parabeforeanother"/>
      </w:pPr>
      <w:r w:rsidRPr="001B5993">
        <w:t>Figure 2.</w:t>
      </w:r>
      <w:r>
        <w:t>3</w:t>
      </w:r>
      <w:r w:rsidRPr="001B5993">
        <w:t xml:space="preserve"> shows that</w:t>
      </w:r>
      <w:r>
        <w:t>,</w:t>
      </w:r>
      <w:r w:rsidRPr="001B5993">
        <w:t xml:space="preserve"> in the great majority of cases where data </w:t>
      </w:r>
      <w:r>
        <w:t xml:space="preserve">was </w:t>
      </w:r>
      <w:r w:rsidRPr="001B5993">
        <w:t>available and provided (31 out of 36 cases), the client was disabled.</w:t>
      </w:r>
    </w:p>
    <w:p w:rsidR="00BC2067" w:rsidRDefault="00BC2067" w:rsidP="00BC2067">
      <w:pPr>
        <w:spacing w:line="240" w:lineRule="auto"/>
        <w:jc w:val="both"/>
        <w:rPr>
          <w:rFonts w:cstheme="minorHAnsi"/>
          <w:b/>
          <w:color w:val="000000" w:themeColor="text1"/>
          <w:szCs w:val="24"/>
        </w:rPr>
      </w:pPr>
    </w:p>
    <w:p w:rsidR="00BC2067" w:rsidRDefault="00BC2067" w:rsidP="00BC2067">
      <w:pPr>
        <w:spacing w:line="240" w:lineRule="auto"/>
        <w:jc w:val="both"/>
        <w:rPr>
          <w:rFonts w:cstheme="minorHAnsi"/>
          <w:b/>
          <w:color w:val="000000" w:themeColor="text1"/>
          <w:szCs w:val="24"/>
        </w:rPr>
      </w:pPr>
    </w:p>
    <w:p w:rsidR="00BC2067" w:rsidRPr="005B0583" w:rsidRDefault="00BC2067" w:rsidP="00172390">
      <w:pPr>
        <w:pStyle w:val="Title-tablesgrey"/>
      </w:pPr>
      <w:bookmarkStart w:id="17" w:name="_Toc11795951"/>
      <w:r>
        <w:lastRenderedPageBreak/>
        <w:t>Figure 2.4</w:t>
      </w:r>
      <w:r>
        <w:tab/>
        <w:t>Total number of PFC Discrimination grants by full representation, 2014/15 to 2017/18</w:t>
      </w:r>
      <w:bookmarkEnd w:id="17"/>
    </w:p>
    <w:p w:rsidR="00BC2067" w:rsidRPr="00167C4A" w:rsidRDefault="00BC2067" w:rsidP="00BC2067">
      <w:pPr>
        <w:spacing w:line="240" w:lineRule="auto"/>
        <w:jc w:val="both"/>
        <w:rPr>
          <w:rFonts w:cstheme="minorHAnsi"/>
          <w:color w:val="000000" w:themeColor="text1"/>
          <w:szCs w:val="24"/>
        </w:rPr>
      </w:pPr>
    </w:p>
    <w:p w:rsidR="00BC2067" w:rsidRPr="001B5993" w:rsidRDefault="00BC2067" w:rsidP="00BC2067">
      <w:pPr>
        <w:spacing w:line="240" w:lineRule="auto"/>
        <w:jc w:val="both"/>
        <w:rPr>
          <w:rFonts w:cstheme="minorHAnsi"/>
          <w:color w:val="000000" w:themeColor="text1"/>
          <w:szCs w:val="24"/>
        </w:rPr>
      </w:pPr>
      <w:r w:rsidRPr="001B5993">
        <w:rPr>
          <w:rFonts w:cstheme="minorHAnsi"/>
          <w:noProof/>
          <w:szCs w:val="24"/>
          <w:lang w:eastAsia="en-GB"/>
        </w:rPr>
        <w:drawing>
          <wp:inline distT="0" distB="0" distL="0" distR="0" wp14:anchorId="18B83862" wp14:editId="6E57BF92">
            <wp:extent cx="5767200" cy="1321200"/>
            <wp:effectExtent l="0" t="0" r="5080" b="0"/>
            <wp:docPr id="26" name="Picture 26" descr="Figure 2.4 Total number of PFC Discrimination grants by full representation, 2014/15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20">
                      <a:extLst>
                        <a:ext uri="{28A0092B-C50C-407E-A947-70E740481C1C}">
                          <a14:useLocalDpi xmlns:a14="http://schemas.microsoft.com/office/drawing/2010/main" val="0"/>
                        </a:ext>
                      </a:extLst>
                    </a:blip>
                    <a:srcRect l="-13" t="18770" r="13" b="-2053"/>
                    <a:stretch/>
                  </pic:blipFill>
                  <pic:spPr bwMode="auto">
                    <a:xfrm>
                      <a:off x="0" y="0"/>
                      <a:ext cx="5767200" cy="1321200"/>
                    </a:xfrm>
                    <a:prstGeom prst="rect">
                      <a:avLst/>
                    </a:prstGeom>
                    <a:noFill/>
                    <a:ln>
                      <a:noFill/>
                    </a:ln>
                    <a:extLst>
                      <a:ext uri="{53640926-AAD7-44D8-BBD7-CCE9431645EC}">
                        <a14:shadowObscured xmlns:a14="http://schemas.microsoft.com/office/drawing/2010/main"/>
                      </a:ext>
                    </a:extLst>
                  </pic:spPr>
                </pic:pic>
              </a:graphicData>
            </a:graphic>
          </wp:inline>
        </w:drawing>
      </w:r>
    </w:p>
    <w:p w:rsidR="00BC2067" w:rsidRPr="001B5993" w:rsidRDefault="00BC2067" w:rsidP="00BC2067">
      <w:pPr>
        <w:spacing w:line="240" w:lineRule="auto"/>
        <w:jc w:val="both"/>
        <w:rPr>
          <w:rFonts w:cstheme="minorHAnsi"/>
          <w:color w:val="000000" w:themeColor="text1"/>
          <w:szCs w:val="24"/>
        </w:rPr>
      </w:pPr>
    </w:p>
    <w:p w:rsidR="00BC2067" w:rsidRPr="00172390" w:rsidRDefault="00BC2067" w:rsidP="00172390">
      <w:pPr>
        <w:pStyle w:val="Tablenotes"/>
        <w:spacing w:after="420"/>
      </w:pPr>
      <w:r>
        <w:t>Base: All PFC Discrimination grants (43).</w:t>
      </w:r>
    </w:p>
    <w:p w:rsidR="00BC2067" w:rsidRPr="00172390" w:rsidRDefault="00BC2067" w:rsidP="00172390">
      <w:pPr>
        <w:pStyle w:val="Parabeforetable"/>
      </w:pPr>
      <w:r w:rsidRPr="00167C4A">
        <w:t>PFCs provide for either ‘full representation’ or ‘investigative representation’</w:t>
      </w:r>
      <w:r>
        <w:t>; investigative representation</w:t>
      </w:r>
      <w:r w:rsidRPr="00167C4A">
        <w:t xml:space="preserve"> is limited to investigation </w:t>
      </w:r>
      <w:r>
        <w:t>into</w:t>
      </w:r>
      <w:r w:rsidRPr="00167C4A">
        <w:t xml:space="preserve"> the strength of the claim. In practice, there may not be much difference </w:t>
      </w:r>
      <w:r>
        <w:t>between</w:t>
      </w:r>
      <w:r w:rsidRPr="00167C4A">
        <w:t xml:space="preserve"> the </w:t>
      </w:r>
      <w:proofErr w:type="gramStart"/>
      <w:r w:rsidRPr="00167C4A">
        <w:t>amount</w:t>
      </w:r>
      <w:proofErr w:type="gramEnd"/>
      <w:r w:rsidRPr="00167C4A">
        <w:t xml:space="preserve"> of support provided to the client</w:t>
      </w:r>
      <w:r>
        <w:t xml:space="preserve"> under full or investigative representation</w:t>
      </w:r>
      <w:r w:rsidRPr="00167C4A">
        <w:t>. Figure 2.</w:t>
      </w:r>
      <w:r>
        <w:t>4</w:t>
      </w:r>
      <w:r w:rsidRPr="00167C4A">
        <w:t xml:space="preserve"> shows that all </w:t>
      </w:r>
      <w:r>
        <w:t>D</w:t>
      </w:r>
      <w:r w:rsidRPr="00167C4A">
        <w:t xml:space="preserve">iscrimination cases where grants were awarded involved full representation rather than investigative representation.  </w:t>
      </w:r>
    </w:p>
    <w:p w:rsidR="00BC2067" w:rsidRPr="005B0583" w:rsidRDefault="00BC2067" w:rsidP="00172390">
      <w:pPr>
        <w:pStyle w:val="Title-tablesgrey"/>
      </w:pPr>
      <w:bookmarkStart w:id="18" w:name="_Toc11795952"/>
      <w:r>
        <w:t>Figure 2.5</w:t>
      </w:r>
      <w:r>
        <w:tab/>
        <w:t>Total number of PFC Discrimination grants by stage end</w:t>
      </w:r>
      <w:bookmarkEnd w:id="18"/>
    </w:p>
    <w:p w:rsidR="00BC2067" w:rsidRPr="00167C4A" w:rsidRDefault="00BC2067" w:rsidP="00BC2067">
      <w:pPr>
        <w:spacing w:line="240" w:lineRule="auto"/>
        <w:jc w:val="both"/>
        <w:rPr>
          <w:rFonts w:cstheme="minorHAnsi"/>
          <w:color w:val="000000" w:themeColor="text1"/>
          <w:szCs w:val="24"/>
        </w:rPr>
      </w:pPr>
    </w:p>
    <w:p w:rsidR="00BC2067" w:rsidRPr="00167C4A" w:rsidRDefault="00BC2067" w:rsidP="00BC2067">
      <w:pPr>
        <w:spacing w:line="240" w:lineRule="auto"/>
        <w:jc w:val="both"/>
        <w:rPr>
          <w:rFonts w:cstheme="minorHAnsi"/>
          <w:color w:val="000000" w:themeColor="text1"/>
          <w:szCs w:val="24"/>
        </w:rPr>
      </w:pPr>
      <w:r w:rsidRPr="00167C4A">
        <w:rPr>
          <w:rFonts w:cstheme="minorHAnsi"/>
          <w:noProof/>
          <w:szCs w:val="24"/>
          <w:lang w:eastAsia="en-GB"/>
        </w:rPr>
        <w:drawing>
          <wp:inline distT="0" distB="0" distL="0" distR="0" wp14:anchorId="375D382E" wp14:editId="0E41052C">
            <wp:extent cx="5731510" cy="943610"/>
            <wp:effectExtent l="0" t="0" r="2540" b="0"/>
            <wp:docPr id="30" name="Picture 30" descr="Figure 2.5 Total number of PFC Discrimination grants by stag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1">
                      <a:extLst>
                        <a:ext uri="{28A0092B-C50C-407E-A947-70E740481C1C}">
                          <a14:useLocalDpi xmlns:a14="http://schemas.microsoft.com/office/drawing/2010/main" val="0"/>
                        </a:ext>
                      </a:extLst>
                    </a:blip>
                    <a:srcRect l="302" t="31689" r="-302" b="-31689"/>
                    <a:stretch/>
                  </pic:blipFill>
                  <pic:spPr bwMode="auto">
                    <a:xfrm>
                      <a:off x="0" y="0"/>
                      <a:ext cx="5731510" cy="943610"/>
                    </a:xfrm>
                    <a:prstGeom prst="rect">
                      <a:avLst/>
                    </a:prstGeom>
                    <a:noFill/>
                    <a:ln>
                      <a:noFill/>
                    </a:ln>
                    <a:extLst>
                      <a:ext uri="{53640926-AAD7-44D8-BBD7-CCE9431645EC}">
                        <a14:shadowObscured xmlns:a14="http://schemas.microsoft.com/office/drawing/2010/main"/>
                      </a:ext>
                    </a:extLst>
                  </pic:spPr>
                </pic:pic>
              </a:graphicData>
            </a:graphic>
          </wp:inline>
        </w:drawing>
      </w:r>
    </w:p>
    <w:p w:rsidR="00BC2067" w:rsidRDefault="00BC2067" w:rsidP="00172390">
      <w:pPr>
        <w:pStyle w:val="Tablenotes"/>
        <w:spacing w:after="420"/>
      </w:pPr>
      <w:r>
        <w:t>Base: All PFC Discrimination grants (43).</w:t>
      </w:r>
    </w:p>
    <w:p w:rsidR="00BC2067" w:rsidRPr="00167C4A" w:rsidRDefault="00BC2067" w:rsidP="00172390">
      <w:pPr>
        <w:pStyle w:val="Parabeforeanother"/>
      </w:pPr>
      <w:r w:rsidRPr="00167C4A">
        <w:t>Figure 2.</w:t>
      </w:r>
      <w:r>
        <w:t>5</w:t>
      </w:r>
      <w:r w:rsidRPr="00167C4A">
        <w:t xml:space="preserve"> shows that</w:t>
      </w:r>
      <w:r>
        <w:t>,</w:t>
      </w:r>
      <w:r w:rsidRPr="00167C4A">
        <w:t xml:space="preserve"> in 67%</w:t>
      </w:r>
      <w:r>
        <w:t xml:space="preserve"> </w:t>
      </w:r>
      <w:r w:rsidRPr="00167C4A">
        <w:t>(29 cases) of granted applications, the case ended after proceedings were issued but before a final hearing took place.</w:t>
      </w:r>
    </w:p>
    <w:p w:rsidR="00BC2067" w:rsidRPr="00167C4A" w:rsidRDefault="00BC2067" w:rsidP="00172390">
      <w:pPr>
        <w:pStyle w:val="Parabeforeanother"/>
      </w:pPr>
      <w:r>
        <w:t>P</w:t>
      </w:r>
      <w:r w:rsidRPr="00167C4A">
        <w:t>roceedings were not issued</w:t>
      </w:r>
      <w:r>
        <w:t xml:space="preserve"> i</w:t>
      </w:r>
      <w:r w:rsidRPr="00167C4A">
        <w:t xml:space="preserve">n only 7% </w:t>
      </w:r>
      <w:r>
        <w:t xml:space="preserve">(3 cases) </w:t>
      </w:r>
      <w:r w:rsidRPr="00167C4A">
        <w:t xml:space="preserve">of the </w:t>
      </w:r>
      <w:r>
        <w:t>granted applications</w:t>
      </w:r>
      <w:r w:rsidRPr="00167C4A">
        <w:t>. These cases were withdrawn on the recommendation of the solicitor or counsel, with one case having a negative, and the other two having an unknown, associated resolution code.</w:t>
      </w:r>
    </w:p>
    <w:p w:rsidR="00651572" w:rsidRDefault="00BC2067" w:rsidP="00651572">
      <w:pPr>
        <w:pStyle w:val="Parabeforeanother"/>
      </w:pPr>
      <w:r>
        <w:t>O</w:t>
      </w:r>
      <w:r w:rsidRPr="00167C4A">
        <w:t xml:space="preserve">f the </w:t>
      </w:r>
      <w:r>
        <w:t>granted applications in the dataset, 25%</w:t>
      </w:r>
      <w:r w:rsidRPr="00167C4A">
        <w:t xml:space="preserve"> (11) were not populated with any outcome codes (Null cases). This </w:t>
      </w:r>
      <w:r>
        <w:t>may be explained</w:t>
      </w:r>
      <w:r w:rsidRPr="00167C4A">
        <w:t xml:space="preserve"> </w:t>
      </w:r>
      <w:r>
        <w:t xml:space="preserve">by some </w:t>
      </w:r>
      <w:r w:rsidRPr="00167C4A">
        <w:t>cases still being open.</w:t>
      </w:r>
    </w:p>
    <w:p w:rsidR="00651572" w:rsidRDefault="00651572">
      <w:pPr>
        <w:spacing w:after="160" w:line="259" w:lineRule="auto"/>
        <w:rPr>
          <w:rFonts w:cs="Arial"/>
          <w:szCs w:val="24"/>
        </w:rPr>
      </w:pPr>
      <w:r>
        <w:br w:type="page"/>
      </w:r>
    </w:p>
    <w:p w:rsidR="00BC2067" w:rsidRDefault="00BC2067" w:rsidP="00172390">
      <w:pPr>
        <w:pStyle w:val="Title-tablesgrey"/>
      </w:pPr>
      <w:bookmarkStart w:id="19" w:name="_Toc11795953"/>
      <w:r>
        <w:t>Figure 2.6</w:t>
      </w:r>
      <w:r>
        <w:tab/>
        <w:t>Total number of PFC discrimination grants by method of resolution</w:t>
      </w:r>
      <w:bookmarkEnd w:id="19"/>
    </w:p>
    <w:p w:rsidR="00BC2067" w:rsidRPr="005B0583" w:rsidRDefault="00BC2067" w:rsidP="00BC2067">
      <w:pPr>
        <w:spacing w:line="240" w:lineRule="auto"/>
        <w:jc w:val="both"/>
        <w:rPr>
          <w:rFonts w:cstheme="minorHAnsi"/>
          <w:b/>
          <w:color w:val="000000" w:themeColor="text1"/>
          <w:szCs w:val="24"/>
        </w:rPr>
      </w:pPr>
    </w:p>
    <w:p w:rsidR="00BC2067" w:rsidRPr="00D344D0" w:rsidRDefault="00BC2067" w:rsidP="00BC2067">
      <w:pPr>
        <w:spacing w:line="240" w:lineRule="auto"/>
        <w:rPr>
          <w:rFonts w:cstheme="minorHAnsi"/>
          <w:color w:val="000000" w:themeColor="text1"/>
          <w:szCs w:val="24"/>
        </w:rPr>
      </w:pPr>
      <w:r w:rsidRPr="00D344D0">
        <w:rPr>
          <w:rFonts w:cstheme="minorHAnsi"/>
          <w:noProof/>
          <w:szCs w:val="24"/>
          <w:lang w:eastAsia="en-GB"/>
        </w:rPr>
        <w:drawing>
          <wp:inline distT="0" distB="0" distL="0" distR="0" wp14:anchorId="6F700EE5" wp14:editId="38F863F3">
            <wp:extent cx="5774400" cy="1803600"/>
            <wp:effectExtent l="0" t="0" r="0" b="6350"/>
            <wp:docPr id="47" name="Picture 47" descr="Figure 2.6 Total number of PFC discrimination grants by method of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22">
                      <a:extLst>
                        <a:ext uri="{28A0092B-C50C-407E-A947-70E740481C1C}">
                          <a14:useLocalDpi xmlns:a14="http://schemas.microsoft.com/office/drawing/2010/main" val="0"/>
                        </a:ext>
                      </a:extLst>
                    </a:blip>
                    <a:srcRect t="13885"/>
                    <a:stretch/>
                  </pic:blipFill>
                  <pic:spPr bwMode="auto">
                    <a:xfrm>
                      <a:off x="0" y="0"/>
                      <a:ext cx="5774400" cy="1803600"/>
                    </a:xfrm>
                    <a:prstGeom prst="rect">
                      <a:avLst/>
                    </a:prstGeom>
                    <a:noFill/>
                    <a:ln>
                      <a:noFill/>
                    </a:ln>
                    <a:extLst>
                      <a:ext uri="{53640926-AAD7-44D8-BBD7-CCE9431645EC}">
                        <a14:shadowObscured xmlns:a14="http://schemas.microsoft.com/office/drawing/2010/main"/>
                      </a:ext>
                    </a:extLst>
                  </pic:spPr>
                </pic:pic>
              </a:graphicData>
            </a:graphic>
          </wp:inline>
        </w:drawing>
      </w:r>
    </w:p>
    <w:p w:rsidR="00BC2067" w:rsidRPr="00D344D0" w:rsidRDefault="00BC2067" w:rsidP="00BC2067">
      <w:pPr>
        <w:spacing w:line="240" w:lineRule="auto"/>
        <w:jc w:val="both"/>
        <w:rPr>
          <w:rFonts w:cstheme="minorHAnsi"/>
          <w:color w:val="000000" w:themeColor="text1"/>
          <w:szCs w:val="24"/>
        </w:rPr>
      </w:pPr>
    </w:p>
    <w:p w:rsidR="00BC2067" w:rsidRPr="00167C4A" w:rsidRDefault="00BC2067" w:rsidP="00172390">
      <w:pPr>
        <w:pStyle w:val="Tablenotes"/>
      </w:pPr>
      <w:r w:rsidRPr="00167C4A">
        <w:t>Note: Null records relate to cases where no outcome code for method of resolution was available in the dataset.</w:t>
      </w:r>
    </w:p>
    <w:p w:rsidR="00BC2067" w:rsidRDefault="00BC2067" w:rsidP="00172390">
      <w:pPr>
        <w:pStyle w:val="Tablenotes"/>
        <w:rPr>
          <w:sz w:val="24"/>
          <w:szCs w:val="24"/>
        </w:rPr>
      </w:pPr>
    </w:p>
    <w:p w:rsidR="00BC2067" w:rsidRDefault="00BC2067" w:rsidP="00172390">
      <w:pPr>
        <w:pStyle w:val="Tablenotes"/>
        <w:spacing w:after="420"/>
      </w:pPr>
      <w:r>
        <w:t>Base: All PFC Discrimination grants (43).</w:t>
      </w:r>
    </w:p>
    <w:p w:rsidR="00BC2067" w:rsidRPr="001B5993" w:rsidRDefault="00BC2067" w:rsidP="00172390">
      <w:pPr>
        <w:pStyle w:val="Parabeforetable"/>
      </w:pPr>
      <w:r w:rsidRPr="001B5993">
        <w:t>Figure 2.</w:t>
      </w:r>
      <w:r>
        <w:t>6</w:t>
      </w:r>
      <w:r w:rsidRPr="001B5993">
        <w:t xml:space="preserve"> shows that 30% </w:t>
      </w:r>
      <w:r>
        <w:t xml:space="preserve">(13) </w:t>
      </w:r>
      <w:r w:rsidRPr="001B5993">
        <w:t xml:space="preserve">of the cases were settled. Most of the remaining cases (17) were withdrawn, either on the </w:t>
      </w:r>
      <w:r>
        <w:t>solicitor</w:t>
      </w:r>
      <w:r w:rsidRPr="001B5993">
        <w:t>’s recommendation, on the merits, or for some other reason. Two cases were determined by the court.</w:t>
      </w:r>
    </w:p>
    <w:p w:rsidR="00BC2067" w:rsidRDefault="00BC2067" w:rsidP="00172390">
      <w:pPr>
        <w:pStyle w:val="Title-tablesgrey"/>
      </w:pPr>
      <w:bookmarkStart w:id="20" w:name="_Toc11795954"/>
      <w:r>
        <w:t>Figure 2.7</w:t>
      </w:r>
      <w:r>
        <w:tab/>
        <w:t>Total number of PFC Discrimination grants by result</w:t>
      </w:r>
      <w:bookmarkEnd w:id="20"/>
    </w:p>
    <w:p w:rsidR="00BC2067" w:rsidRPr="001B5993" w:rsidRDefault="00BC2067" w:rsidP="00BC2067">
      <w:pPr>
        <w:spacing w:line="240" w:lineRule="auto"/>
        <w:jc w:val="both"/>
        <w:rPr>
          <w:rFonts w:cstheme="minorHAnsi"/>
          <w:color w:val="000000" w:themeColor="text1"/>
          <w:szCs w:val="24"/>
        </w:rPr>
      </w:pPr>
      <w:r>
        <w:rPr>
          <w:noProof/>
          <w:lang w:eastAsia="en-GB"/>
        </w:rPr>
        <w:drawing>
          <wp:inline distT="0" distB="0" distL="0" distR="0" wp14:anchorId="2C1F2564" wp14:editId="41EA2513">
            <wp:extent cx="6343650" cy="1270698"/>
            <wp:effectExtent l="0" t="0" r="0" b="5715"/>
            <wp:docPr id="48" name="Picture 48" descr="Figure 2.7 Total number of PFC Discrimination grants by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46511" cy="1271271"/>
                    </a:xfrm>
                    <a:prstGeom prst="rect">
                      <a:avLst/>
                    </a:prstGeom>
                    <a:noFill/>
                    <a:ln>
                      <a:noFill/>
                    </a:ln>
                  </pic:spPr>
                </pic:pic>
              </a:graphicData>
            </a:graphic>
          </wp:inline>
        </w:drawing>
      </w:r>
    </w:p>
    <w:p w:rsidR="00BC2067" w:rsidRPr="001B5993" w:rsidRDefault="00BC2067" w:rsidP="00BC2067">
      <w:pPr>
        <w:spacing w:line="240" w:lineRule="auto"/>
        <w:jc w:val="both"/>
        <w:rPr>
          <w:rFonts w:cstheme="minorHAnsi"/>
          <w:color w:val="000000" w:themeColor="text1"/>
          <w:szCs w:val="24"/>
        </w:rPr>
      </w:pPr>
    </w:p>
    <w:p w:rsidR="00BC2067" w:rsidRPr="00167C4A" w:rsidRDefault="00BC2067" w:rsidP="00172390">
      <w:pPr>
        <w:pStyle w:val="Tablenotes"/>
      </w:pPr>
      <w:r w:rsidRPr="00167C4A">
        <w:t>Note: Null records relate to cases where no outcome code was available in the dataset.</w:t>
      </w:r>
    </w:p>
    <w:p w:rsidR="00BC2067" w:rsidRDefault="00BC2067" w:rsidP="00172390">
      <w:pPr>
        <w:pStyle w:val="Tablenotes"/>
        <w:rPr>
          <w:sz w:val="24"/>
          <w:szCs w:val="24"/>
        </w:rPr>
      </w:pPr>
    </w:p>
    <w:p w:rsidR="00BC2067" w:rsidDel="00057B5A" w:rsidRDefault="00BC2067" w:rsidP="00172390">
      <w:pPr>
        <w:pStyle w:val="Tablenotes"/>
        <w:spacing w:after="420"/>
      </w:pPr>
      <w:r>
        <w:t>Base: All PFC D</w:t>
      </w:r>
      <w:r w:rsidDel="00057B5A">
        <w:t>iscrimination grants (43)</w:t>
      </w:r>
      <w:r>
        <w:t>.</w:t>
      </w:r>
    </w:p>
    <w:p w:rsidR="00172390" w:rsidRDefault="00BC2067" w:rsidP="00172390">
      <w:pPr>
        <w:pStyle w:val="Parabeforeanother"/>
        <w:sectPr w:rsidR="00172390" w:rsidSect="00172390">
          <w:headerReference w:type="first" r:id="rId24"/>
          <w:pgSz w:w="11906" w:h="16838"/>
          <w:pgMar w:top="1440" w:right="1440" w:bottom="1440" w:left="1440" w:header="708" w:footer="708" w:gutter="0"/>
          <w:cols w:space="708"/>
          <w:titlePg/>
          <w:docGrid w:linePitch="360"/>
        </w:sectPr>
      </w:pPr>
      <w:r w:rsidRPr="001B5993">
        <w:t>Figure 2.</w:t>
      </w:r>
      <w:r>
        <w:t>7</w:t>
      </w:r>
      <w:r w:rsidRPr="001B5993">
        <w:t xml:space="preserve"> shows that </w:t>
      </w:r>
      <w:r>
        <w:t>nearly half of the cases where the outcome was known (14 out of 32)</w:t>
      </w:r>
      <w:r w:rsidRPr="001B5993">
        <w:t xml:space="preserve"> </w:t>
      </w:r>
      <w:r>
        <w:t xml:space="preserve">resulted in </w:t>
      </w:r>
      <w:r w:rsidRPr="001B5993">
        <w:t>settle</w:t>
      </w:r>
      <w:r>
        <w:t>ment</w:t>
      </w:r>
      <w:r w:rsidRPr="001B5993">
        <w:t xml:space="preserve"> with the client receiving a significant benefit. </w:t>
      </w:r>
      <w:r>
        <w:t xml:space="preserve">The LAA describes ‘significant benefit’ as one that a reasonable privately paying client would regard as sufficiently worthwhile to justify having taken or defended proceedings. </w:t>
      </w:r>
      <w:r w:rsidRPr="001B5993">
        <w:t xml:space="preserve">A further </w:t>
      </w:r>
      <w:r>
        <w:t>five cases</w:t>
      </w:r>
      <w:r w:rsidRPr="001B5993">
        <w:t xml:space="preserve"> resulted in a favourable order or recovery of damages. </w:t>
      </w:r>
      <w:r>
        <w:t>Seven cases</w:t>
      </w:r>
      <w:r w:rsidRPr="001B5993">
        <w:t xml:space="preserve"> resulted in no favourable order or settlement being made to the client</w:t>
      </w:r>
      <w:r>
        <w:t>. In six cases</w:t>
      </w:r>
      <w:r w:rsidRPr="001B5993">
        <w:t xml:space="preserve"> the outcome was unknown and no additional information was available.</w:t>
      </w:r>
    </w:p>
    <w:p w:rsidR="00BC2067" w:rsidRPr="00AC7664" w:rsidRDefault="00BC2067" w:rsidP="00172390">
      <w:pPr>
        <w:pStyle w:val="Title-chaptergrey"/>
        <w:rPr>
          <w:color w:val="000000" w:themeColor="text1"/>
        </w:rPr>
      </w:pPr>
      <w:bookmarkStart w:id="21" w:name="_Toc11795955"/>
      <w:r>
        <w:rPr>
          <w:color w:val="000000" w:themeColor="text1"/>
        </w:rPr>
        <w:lastRenderedPageBreak/>
        <w:t xml:space="preserve">3. </w:t>
      </w:r>
      <w:r w:rsidRPr="00C64E79">
        <w:t xml:space="preserve">PFCs </w:t>
      </w:r>
      <w:r>
        <w:t>granted: Other Category (Discrimination)</w:t>
      </w:r>
      <w:bookmarkEnd w:id="21"/>
      <w:r>
        <w:t xml:space="preserve"> </w:t>
      </w:r>
    </w:p>
    <w:p w:rsidR="00BC2067" w:rsidRPr="00167C4A" w:rsidRDefault="00BC2067" w:rsidP="00172390">
      <w:pPr>
        <w:pStyle w:val="Parabeforeanother"/>
        <w:rPr>
          <w:rFonts w:cstheme="minorHAnsi"/>
        </w:rPr>
      </w:pPr>
      <w:r w:rsidRPr="00167C4A">
        <w:rPr>
          <w:rFonts w:cstheme="minorHAnsi"/>
        </w:rPr>
        <w:t xml:space="preserve">In this section, we examine grants for PFCs </w:t>
      </w:r>
      <w:r w:rsidRPr="001B5993">
        <w:t xml:space="preserve">relating to </w:t>
      </w:r>
      <w:r>
        <w:t>d</w:t>
      </w:r>
      <w:r w:rsidRPr="001B5993">
        <w:t>iscrimination but classified under other categories of law.</w:t>
      </w:r>
      <w:r>
        <w:rPr>
          <w:rFonts w:cstheme="minorHAnsi"/>
        </w:rPr>
        <w:t xml:space="preserve"> </w:t>
      </w:r>
    </w:p>
    <w:p w:rsidR="00BC2067" w:rsidRPr="00172390" w:rsidRDefault="00BC2067" w:rsidP="00172390">
      <w:pPr>
        <w:pStyle w:val="Parabeforetable"/>
      </w:pPr>
      <w:r w:rsidRPr="00167C4A">
        <w:rPr>
          <w:noProof/>
        </w:rPr>
        <w:t xml:space="preserve">As Table </w:t>
      </w:r>
      <w:r>
        <w:rPr>
          <w:noProof/>
        </w:rPr>
        <w:t>1</w:t>
      </w:r>
      <w:r w:rsidRPr="00167C4A">
        <w:rPr>
          <w:noProof/>
        </w:rPr>
        <w:t xml:space="preserve">.1 </w:t>
      </w:r>
      <w:r>
        <w:rPr>
          <w:noProof/>
        </w:rPr>
        <w:t xml:space="preserve">above </w:t>
      </w:r>
      <w:r w:rsidRPr="00167C4A">
        <w:rPr>
          <w:noProof/>
        </w:rPr>
        <w:t>shows, th</w:t>
      </w:r>
      <w:r>
        <w:rPr>
          <w:noProof/>
        </w:rPr>
        <w:t>e LAA dataset showed</w:t>
      </w:r>
      <w:r w:rsidRPr="00167C4A">
        <w:rPr>
          <w:noProof/>
        </w:rPr>
        <w:t xml:space="preserve"> </w:t>
      </w:r>
      <w:r>
        <w:rPr>
          <w:noProof/>
        </w:rPr>
        <w:t>142</w:t>
      </w:r>
      <w:r w:rsidRPr="00167C4A">
        <w:rPr>
          <w:noProof/>
        </w:rPr>
        <w:t xml:space="preserve"> PFC </w:t>
      </w:r>
      <w:r>
        <w:rPr>
          <w:noProof/>
        </w:rPr>
        <w:t>Other Category (Discrimination)</w:t>
      </w:r>
      <w:r w:rsidRPr="00167C4A">
        <w:rPr>
          <w:noProof/>
        </w:rPr>
        <w:t xml:space="preserve"> grants in total between 2013</w:t>
      </w:r>
      <w:r>
        <w:rPr>
          <w:noProof/>
        </w:rPr>
        <w:t>/</w:t>
      </w:r>
      <w:r w:rsidRPr="00167C4A">
        <w:rPr>
          <w:noProof/>
        </w:rPr>
        <w:t>14 and 2017</w:t>
      </w:r>
      <w:r>
        <w:rPr>
          <w:noProof/>
        </w:rPr>
        <w:t>/</w:t>
      </w:r>
      <w:r w:rsidRPr="00167C4A">
        <w:rPr>
          <w:noProof/>
        </w:rPr>
        <w:t>18</w:t>
      </w:r>
      <w:r>
        <w:rPr>
          <w:noProof/>
        </w:rPr>
        <w:t xml:space="preserve"> and </w:t>
      </w:r>
      <w:r w:rsidRPr="001B5993">
        <w:t xml:space="preserve">the number of applications </w:t>
      </w:r>
      <w:r>
        <w:t xml:space="preserve">granted </w:t>
      </w:r>
      <w:r w:rsidRPr="001B5993">
        <w:t>was fairly similar in most years</w:t>
      </w:r>
      <w:r>
        <w:t>,</w:t>
      </w:r>
      <w:r w:rsidRPr="001B5993">
        <w:t xml:space="preserve"> except for 2015</w:t>
      </w:r>
      <w:r>
        <w:t>/</w:t>
      </w:r>
      <w:r w:rsidRPr="001B5993">
        <w:t xml:space="preserve">16. In comparison with PFC </w:t>
      </w:r>
      <w:r>
        <w:t>D</w:t>
      </w:r>
      <w:r w:rsidRPr="001B5993">
        <w:t xml:space="preserve">iscrimination grants shown in Table </w:t>
      </w:r>
      <w:r>
        <w:t>1</w:t>
      </w:r>
      <w:r w:rsidRPr="001B5993">
        <w:t xml:space="preserve">.1, there were a higher number of </w:t>
      </w:r>
      <w:r>
        <w:t>PFC Other Category (Discrimination)</w:t>
      </w:r>
      <w:r w:rsidRPr="001B5993">
        <w:t xml:space="preserve"> grants in each year.</w:t>
      </w:r>
    </w:p>
    <w:p w:rsidR="00BC2067" w:rsidRPr="005B0583" w:rsidRDefault="00BC2067" w:rsidP="00172390">
      <w:pPr>
        <w:pStyle w:val="Title-tablesgrey"/>
        <w:rPr>
          <w:noProof/>
        </w:rPr>
      </w:pPr>
      <w:bookmarkStart w:id="22" w:name="_Toc11795956"/>
      <w:r>
        <w:rPr>
          <w:noProof/>
        </w:rPr>
        <w:t>Figure 3.1</w:t>
      </w:r>
      <w:r>
        <w:rPr>
          <w:noProof/>
        </w:rPr>
        <w:tab/>
        <w:t>Total number of PFC Other Category (Discrimination) grants by proceeding code</w:t>
      </w:r>
      <w:bookmarkEnd w:id="22"/>
    </w:p>
    <w:p w:rsidR="00BC2067" w:rsidRDefault="00BC2067" w:rsidP="00172390">
      <w:pPr>
        <w:jc w:val="both"/>
        <w:rPr>
          <w:color w:val="000000" w:themeColor="text1"/>
        </w:rPr>
      </w:pPr>
      <w:r>
        <w:rPr>
          <w:noProof/>
          <w:lang w:eastAsia="en-GB"/>
        </w:rPr>
        <w:drawing>
          <wp:inline distT="0" distB="0" distL="0" distR="0">
            <wp:extent cx="5731510" cy="2644775"/>
            <wp:effectExtent l="0" t="0" r="2540" b="3175"/>
            <wp:docPr id="49" name="Picture 49" descr="Figure 3.1 Total number of PFC Other Category (Discrimination) grants by proceeding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644775"/>
                    </a:xfrm>
                    <a:prstGeom prst="rect">
                      <a:avLst/>
                    </a:prstGeom>
                    <a:noFill/>
                    <a:ln>
                      <a:noFill/>
                    </a:ln>
                  </pic:spPr>
                </pic:pic>
              </a:graphicData>
            </a:graphic>
          </wp:inline>
        </w:drawing>
      </w:r>
    </w:p>
    <w:p w:rsidR="00BC2067" w:rsidRDefault="00BC2067" w:rsidP="00172390">
      <w:pPr>
        <w:pStyle w:val="Tablenotes"/>
      </w:pPr>
      <w:r>
        <w:t xml:space="preserve">Note: The description of the same codes differed in the two datasets. The CIS code was ‘Actions </w:t>
      </w:r>
      <w:proofErr w:type="gramStart"/>
      <w:r>
        <w:t>Against</w:t>
      </w:r>
      <w:proofErr w:type="gramEnd"/>
      <w:r>
        <w:t xml:space="preserve"> the Police etc.’ and the CCMS code was ‘Claims Against Public Authority’. We have grouped these as we feel that the codes are essentially the same.</w:t>
      </w:r>
    </w:p>
    <w:p w:rsidR="00BC2067" w:rsidRPr="00027614" w:rsidRDefault="00BC2067" w:rsidP="00172390">
      <w:pPr>
        <w:pStyle w:val="Tablenotes"/>
      </w:pPr>
      <w:r>
        <w:t xml:space="preserve"> </w:t>
      </w:r>
    </w:p>
    <w:p w:rsidR="00172390" w:rsidRDefault="00BC2067" w:rsidP="00172390">
      <w:pPr>
        <w:pStyle w:val="Tablenotes"/>
        <w:rPr>
          <w:noProof/>
        </w:rPr>
      </w:pPr>
      <w:r w:rsidDel="000422C1">
        <w:rPr>
          <w:noProof/>
        </w:rPr>
        <w:t xml:space="preserve">Base: All </w:t>
      </w:r>
      <w:r>
        <w:rPr>
          <w:noProof/>
        </w:rPr>
        <w:t>PFC Other Category (Discrimination)</w:t>
      </w:r>
      <w:r w:rsidDel="000422C1">
        <w:rPr>
          <w:noProof/>
        </w:rPr>
        <w:t xml:space="preserve"> grants (142)</w:t>
      </w:r>
      <w:r>
        <w:rPr>
          <w:noProof/>
        </w:rPr>
        <w:t>.</w:t>
      </w:r>
    </w:p>
    <w:p w:rsidR="00172390" w:rsidRDefault="00172390">
      <w:pPr>
        <w:spacing w:after="160" w:line="259" w:lineRule="auto"/>
        <w:rPr>
          <w:rFonts w:cs="Arial"/>
          <w:noProof/>
          <w:color w:val="000000"/>
          <w:sz w:val="22"/>
          <w:lang w:eastAsia="en-GB"/>
        </w:rPr>
      </w:pPr>
      <w:r>
        <w:rPr>
          <w:noProof/>
        </w:rPr>
        <w:br w:type="page"/>
      </w:r>
    </w:p>
    <w:p w:rsidR="00BC2067" w:rsidRPr="001B5993" w:rsidRDefault="00BC2067" w:rsidP="00172390">
      <w:pPr>
        <w:pStyle w:val="Parabeforetable"/>
      </w:pPr>
      <w:r>
        <w:lastRenderedPageBreak/>
        <w:t>Figure 3.1 shows that the largest number of PFC Other Category (Discrimination) grants concerned actions against the police or claims against a public authority, followed by those in the housing category.</w:t>
      </w:r>
    </w:p>
    <w:p w:rsidR="00BC2067" w:rsidRPr="00172390" w:rsidRDefault="00BC2067" w:rsidP="00172390">
      <w:pPr>
        <w:pStyle w:val="Title-tablesgrey"/>
        <w:rPr>
          <w:noProof/>
        </w:rPr>
      </w:pPr>
      <w:bookmarkStart w:id="23" w:name="_Toc11795957"/>
      <w:r>
        <w:rPr>
          <w:noProof/>
        </w:rPr>
        <w:t>Figure 3.2</w:t>
      </w:r>
      <w:r>
        <w:rPr>
          <w:noProof/>
        </w:rPr>
        <w:tab/>
        <w:t>Total number of PFC Other Category (Discrimination) grants by disability</w:t>
      </w:r>
      <w:bookmarkEnd w:id="23"/>
    </w:p>
    <w:p w:rsidR="00BC2067" w:rsidRPr="00027614" w:rsidRDefault="00BC2067" w:rsidP="00BC2067">
      <w:pPr>
        <w:jc w:val="both"/>
        <w:rPr>
          <w:color w:val="000000" w:themeColor="text1"/>
        </w:rPr>
      </w:pPr>
      <w:r>
        <w:rPr>
          <w:noProof/>
          <w:lang w:eastAsia="en-GB"/>
        </w:rPr>
        <w:drawing>
          <wp:inline distT="0" distB="0" distL="0" distR="0" wp14:anchorId="7728AB2E" wp14:editId="6E3BECFC">
            <wp:extent cx="5767200" cy="2206800"/>
            <wp:effectExtent l="0" t="0" r="5080" b="0"/>
            <wp:docPr id="57" name="Picture 57" descr="Figure 3.2 Total number of PFC Other Category (Discrimination) grants by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26">
                      <a:extLst>
                        <a:ext uri="{28A0092B-C50C-407E-A947-70E740481C1C}">
                          <a14:useLocalDpi xmlns:a14="http://schemas.microsoft.com/office/drawing/2010/main" val="0"/>
                        </a:ext>
                      </a:extLst>
                    </a:blip>
                    <a:srcRect l="-378" t="11859" r="378" b="-11859"/>
                    <a:stretch/>
                  </pic:blipFill>
                  <pic:spPr bwMode="auto">
                    <a:xfrm>
                      <a:off x="0" y="0"/>
                      <a:ext cx="5767200" cy="2206800"/>
                    </a:xfrm>
                    <a:prstGeom prst="rect">
                      <a:avLst/>
                    </a:prstGeom>
                    <a:noFill/>
                    <a:ln>
                      <a:noFill/>
                    </a:ln>
                    <a:extLst>
                      <a:ext uri="{53640926-AAD7-44D8-BBD7-CCE9431645EC}">
                        <a14:shadowObscured xmlns:a14="http://schemas.microsoft.com/office/drawing/2010/main"/>
                      </a:ext>
                    </a:extLst>
                  </pic:spPr>
                </pic:pic>
              </a:graphicData>
            </a:graphic>
          </wp:inline>
        </w:drawing>
      </w:r>
    </w:p>
    <w:p w:rsidR="00BC2067" w:rsidRDefault="00BC2067" w:rsidP="00B051A6">
      <w:pPr>
        <w:pStyle w:val="Tablenotes"/>
      </w:pPr>
      <w:r w:rsidRPr="00305B12">
        <w:t>Note: The CIS dataset did not contain a Disability variable</w:t>
      </w:r>
      <w:r>
        <w:t>;</w:t>
      </w:r>
      <w:r w:rsidRPr="00305B12">
        <w:t xml:space="preserve"> therefore the 72 Null cases come from th</w:t>
      </w:r>
      <w:r>
        <w:t>e CIS</w:t>
      </w:r>
      <w:r w:rsidRPr="00305B12">
        <w:t xml:space="preserve"> dataset. </w:t>
      </w:r>
    </w:p>
    <w:p w:rsidR="00BC2067" w:rsidRPr="00305B12" w:rsidRDefault="00BC2067" w:rsidP="00B051A6">
      <w:pPr>
        <w:pStyle w:val="Tablenotes"/>
      </w:pPr>
    </w:p>
    <w:p w:rsidR="00BC2067" w:rsidDel="000422C1" w:rsidRDefault="00BC2067" w:rsidP="00B051A6">
      <w:pPr>
        <w:pStyle w:val="Tablenotes"/>
        <w:spacing w:after="420"/>
        <w:rPr>
          <w:noProof/>
        </w:rPr>
      </w:pPr>
      <w:r>
        <w:rPr>
          <w:noProof/>
        </w:rPr>
        <w:t>Base: All PFC Other Category (Discrimination)</w:t>
      </w:r>
      <w:r w:rsidDel="000422C1">
        <w:rPr>
          <w:noProof/>
        </w:rPr>
        <w:t xml:space="preserve"> grants (142)</w:t>
      </w:r>
      <w:r>
        <w:rPr>
          <w:noProof/>
        </w:rPr>
        <w:t>.</w:t>
      </w:r>
    </w:p>
    <w:p w:rsidR="00BC2067" w:rsidRPr="00B051A6" w:rsidRDefault="00BC2067" w:rsidP="00B051A6">
      <w:pPr>
        <w:pStyle w:val="Parabeforetable"/>
      </w:pPr>
      <w:r w:rsidRPr="001B5993">
        <w:t>Figure 3.</w:t>
      </w:r>
      <w:r>
        <w:t>2</w:t>
      </w:r>
      <w:r w:rsidRPr="001B5993">
        <w:t xml:space="preserve"> shows that</w:t>
      </w:r>
      <w:r>
        <w:t>,</w:t>
      </w:r>
      <w:r w:rsidRPr="001B5993">
        <w:t xml:space="preserve"> in the majority of cases where a grant was awarded</w:t>
      </w:r>
      <w:r>
        <w:t xml:space="preserve"> </w:t>
      </w:r>
      <w:r w:rsidRPr="001B5993">
        <w:t>(59 out of 70), the client was considered disabled.</w:t>
      </w:r>
    </w:p>
    <w:p w:rsidR="00BC2067" w:rsidRPr="005B0583" w:rsidRDefault="00BC2067" w:rsidP="00B051A6">
      <w:pPr>
        <w:pStyle w:val="Title-tablesgrey"/>
        <w:rPr>
          <w:noProof/>
        </w:rPr>
      </w:pPr>
      <w:bookmarkStart w:id="24" w:name="_Toc11795958"/>
      <w:r>
        <w:rPr>
          <w:noProof/>
        </w:rPr>
        <w:t>Figure 3.3</w:t>
      </w:r>
      <w:r>
        <w:rPr>
          <w:noProof/>
        </w:rPr>
        <w:tab/>
        <w:t>Total number of PFC Other Category (Discrimination) grants with full representation, 2013/14 to 2017/18</w:t>
      </w:r>
      <w:bookmarkEnd w:id="24"/>
    </w:p>
    <w:p w:rsidR="00BC2067" w:rsidRPr="00027614" w:rsidRDefault="00BC2067" w:rsidP="00BC2067">
      <w:pPr>
        <w:jc w:val="both"/>
        <w:rPr>
          <w:color w:val="000000" w:themeColor="text1"/>
        </w:rPr>
      </w:pPr>
      <w:r>
        <w:rPr>
          <w:noProof/>
          <w:lang w:eastAsia="en-GB"/>
        </w:rPr>
        <w:drawing>
          <wp:inline distT="0" distB="0" distL="0" distR="0" wp14:anchorId="0BFF6155" wp14:editId="5F45AF00">
            <wp:extent cx="5752800" cy="1458000"/>
            <wp:effectExtent l="0" t="0" r="635" b="8890"/>
            <wp:docPr id="53" name="Picture 53" descr="Figure 3.3 Total number of PFC Other Category (Discrimination) grants with full representation, 2013/14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2796"/>
                    <a:stretch/>
                  </pic:blipFill>
                  <pic:spPr bwMode="auto">
                    <a:xfrm>
                      <a:off x="0" y="0"/>
                      <a:ext cx="5752800" cy="1458000"/>
                    </a:xfrm>
                    <a:prstGeom prst="rect">
                      <a:avLst/>
                    </a:prstGeom>
                    <a:ln>
                      <a:noFill/>
                    </a:ln>
                    <a:extLst>
                      <a:ext uri="{53640926-AAD7-44D8-BBD7-CCE9431645EC}">
                        <a14:shadowObscured xmlns:a14="http://schemas.microsoft.com/office/drawing/2010/main"/>
                      </a:ext>
                    </a:extLst>
                  </pic:spPr>
                </pic:pic>
              </a:graphicData>
            </a:graphic>
          </wp:inline>
        </w:drawing>
      </w:r>
    </w:p>
    <w:p w:rsidR="00BC2067" w:rsidRDefault="00BC2067" w:rsidP="00B051A6">
      <w:pPr>
        <w:pStyle w:val="Tablenotes"/>
        <w:spacing w:after="420"/>
        <w:rPr>
          <w:noProof/>
        </w:rPr>
      </w:pPr>
      <w:r>
        <w:rPr>
          <w:noProof/>
        </w:rPr>
        <w:t>Base: All PFC Other Category (Discrimination) grants with full representation (111).</w:t>
      </w:r>
    </w:p>
    <w:p w:rsidR="00BC2067" w:rsidRPr="001B5993" w:rsidRDefault="00BC2067" w:rsidP="00B051A6">
      <w:pPr>
        <w:pStyle w:val="Parabeforenewsection"/>
      </w:pPr>
      <w:r w:rsidRPr="001B5993">
        <w:t>Figure 3.</w:t>
      </w:r>
      <w:r>
        <w:t>3</w:t>
      </w:r>
      <w:r w:rsidRPr="001B5993">
        <w:t xml:space="preserve"> shows a stable number of applications provided with full </w:t>
      </w:r>
      <w:r>
        <w:t xml:space="preserve">representation, </w:t>
      </w:r>
      <w:r w:rsidRPr="001B5993">
        <w:t>except in 2015</w:t>
      </w:r>
      <w:r>
        <w:t>/</w:t>
      </w:r>
      <w:r w:rsidRPr="001B5993">
        <w:t>16. The increase of activity in 2017</w:t>
      </w:r>
      <w:r>
        <w:t>/</w:t>
      </w:r>
      <w:r w:rsidRPr="001B5993">
        <w:t>18 correlate</w:t>
      </w:r>
      <w:r>
        <w:t>s to</w:t>
      </w:r>
      <w:r w:rsidRPr="001B5993">
        <w:t xml:space="preserve"> the overall increase of applications in that year.</w:t>
      </w:r>
    </w:p>
    <w:p w:rsidR="00BC2067" w:rsidRPr="005B0583" w:rsidRDefault="00BC2067" w:rsidP="00B051A6">
      <w:pPr>
        <w:pStyle w:val="Title-tablesgrey"/>
        <w:rPr>
          <w:noProof/>
        </w:rPr>
      </w:pPr>
      <w:bookmarkStart w:id="25" w:name="_Toc11795959"/>
      <w:r>
        <w:rPr>
          <w:noProof/>
        </w:rPr>
        <w:lastRenderedPageBreak/>
        <w:t>Figure 3.4</w:t>
      </w:r>
      <w:r>
        <w:rPr>
          <w:noProof/>
        </w:rPr>
        <w:tab/>
        <w:t>Total number of PFC Other Category (Discrimination) grants with investigative representation, 2013/14 to 2017/18</w:t>
      </w:r>
      <w:bookmarkEnd w:id="25"/>
    </w:p>
    <w:p w:rsidR="00BC2067" w:rsidRDefault="00BC2067" w:rsidP="00BC2067">
      <w:pPr>
        <w:jc w:val="both"/>
        <w:rPr>
          <w:color w:val="000000" w:themeColor="text1"/>
        </w:rPr>
      </w:pPr>
    </w:p>
    <w:p w:rsidR="00BC2067" w:rsidRDefault="00BC2067" w:rsidP="00BC2067">
      <w:pPr>
        <w:jc w:val="both"/>
        <w:rPr>
          <w:color w:val="000000" w:themeColor="text1"/>
        </w:rPr>
      </w:pPr>
      <w:r>
        <w:rPr>
          <w:noProof/>
          <w:lang w:eastAsia="en-GB"/>
        </w:rPr>
        <w:drawing>
          <wp:inline distT="0" distB="0" distL="0" distR="0" wp14:anchorId="0F578AE3" wp14:editId="2C77F1EB">
            <wp:extent cx="5731510" cy="1288680"/>
            <wp:effectExtent l="0" t="0" r="2540" b="6985"/>
            <wp:docPr id="54" name="Picture 54" descr="Figure 3.4 Total number of PFC Other Category (Discrimination) grants with investigative representation, 2013/14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13898"/>
                    <a:stretch/>
                  </pic:blipFill>
                  <pic:spPr bwMode="auto">
                    <a:xfrm>
                      <a:off x="0" y="0"/>
                      <a:ext cx="5731510" cy="1288680"/>
                    </a:xfrm>
                    <a:prstGeom prst="rect">
                      <a:avLst/>
                    </a:prstGeom>
                    <a:ln>
                      <a:noFill/>
                    </a:ln>
                    <a:extLst>
                      <a:ext uri="{53640926-AAD7-44D8-BBD7-CCE9431645EC}">
                        <a14:shadowObscured xmlns:a14="http://schemas.microsoft.com/office/drawing/2010/main"/>
                      </a:ext>
                    </a:extLst>
                  </pic:spPr>
                </pic:pic>
              </a:graphicData>
            </a:graphic>
          </wp:inline>
        </w:drawing>
      </w:r>
    </w:p>
    <w:p w:rsidR="00BC2067" w:rsidRDefault="00BC2067" w:rsidP="00B051A6">
      <w:pPr>
        <w:pStyle w:val="Tablenotes"/>
        <w:spacing w:after="420"/>
        <w:rPr>
          <w:noProof/>
        </w:rPr>
      </w:pPr>
      <w:r>
        <w:rPr>
          <w:noProof/>
        </w:rPr>
        <w:t>Base: All PFC Other Category (Discrimination) grants with investigative representation (31).</w:t>
      </w:r>
    </w:p>
    <w:p w:rsidR="00BC2067" w:rsidRPr="001B5993" w:rsidRDefault="00BC2067" w:rsidP="00B051A6">
      <w:pPr>
        <w:pStyle w:val="Parabeforetable"/>
      </w:pPr>
      <w:r w:rsidRPr="001B5993">
        <w:t>Figure 3.</w:t>
      </w:r>
      <w:r>
        <w:t>4</w:t>
      </w:r>
      <w:r w:rsidRPr="001B5993">
        <w:t xml:space="preserve"> shows that there was a decrease in investigative representation </w:t>
      </w:r>
      <w:r>
        <w:t>after 2013/14</w:t>
      </w:r>
      <w:proofErr w:type="gramStart"/>
      <w:r>
        <w:t>.</w:t>
      </w:r>
      <w:r w:rsidRPr="001B5993">
        <w:t>.</w:t>
      </w:r>
      <w:proofErr w:type="gramEnd"/>
      <w:r w:rsidRPr="001B5993">
        <w:t xml:space="preserve"> In any case, </w:t>
      </w:r>
      <w:r>
        <w:t xml:space="preserve">and </w:t>
      </w:r>
      <w:r w:rsidRPr="001B5993">
        <w:t>as noted above, the distinction between full representation and investigative representation is not substantial in practice.</w:t>
      </w:r>
    </w:p>
    <w:p w:rsidR="00BC2067" w:rsidRPr="005B0583" w:rsidRDefault="00BC2067" w:rsidP="00B051A6">
      <w:pPr>
        <w:pStyle w:val="Title-tablesgrey"/>
        <w:rPr>
          <w:noProof/>
        </w:rPr>
      </w:pPr>
      <w:bookmarkStart w:id="26" w:name="_Toc11795960"/>
      <w:r>
        <w:rPr>
          <w:noProof/>
        </w:rPr>
        <w:t>Figure 3.5</w:t>
      </w:r>
      <w:r>
        <w:rPr>
          <w:noProof/>
        </w:rPr>
        <w:tab/>
        <w:t>Total number of PFC Other Category (Discrimination) grants by stage end</w:t>
      </w:r>
      <w:bookmarkEnd w:id="26"/>
    </w:p>
    <w:p w:rsidR="00BC2067" w:rsidRPr="00027614" w:rsidRDefault="00BC2067" w:rsidP="00BC2067">
      <w:pPr>
        <w:jc w:val="both"/>
        <w:rPr>
          <w:color w:val="000000" w:themeColor="text1"/>
        </w:rPr>
      </w:pPr>
      <w:r>
        <w:rPr>
          <w:noProof/>
          <w:lang w:eastAsia="en-GB"/>
        </w:rPr>
        <w:drawing>
          <wp:inline distT="0" distB="0" distL="0" distR="0" wp14:anchorId="10889AD7" wp14:editId="63A8F51B">
            <wp:extent cx="6195060" cy="1242337"/>
            <wp:effectExtent l="0" t="0" r="0" b="0"/>
            <wp:docPr id="55" name="Picture 55" descr="Figure 3.5 Total number of PFC Other Category (Discrimination) grants by stage 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29">
                      <a:extLst>
                        <a:ext uri="{28A0092B-C50C-407E-A947-70E740481C1C}">
                          <a14:useLocalDpi xmlns:a14="http://schemas.microsoft.com/office/drawing/2010/main" val="0"/>
                        </a:ext>
                      </a:extLst>
                    </a:blip>
                    <a:srcRect t="15851"/>
                    <a:stretch/>
                  </pic:blipFill>
                  <pic:spPr bwMode="auto">
                    <a:xfrm>
                      <a:off x="0" y="0"/>
                      <a:ext cx="6201690" cy="1243667"/>
                    </a:xfrm>
                    <a:prstGeom prst="rect">
                      <a:avLst/>
                    </a:prstGeom>
                    <a:noFill/>
                    <a:ln>
                      <a:noFill/>
                    </a:ln>
                    <a:extLst>
                      <a:ext uri="{53640926-AAD7-44D8-BBD7-CCE9431645EC}">
                        <a14:shadowObscured xmlns:a14="http://schemas.microsoft.com/office/drawing/2010/main"/>
                      </a:ext>
                    </a:extLst>
                  </pic:spPr>
                </pic:pic>
              </a:graphicData>
            </a:graphic>
          </wp:inline>
        </w:drawing>
      </w:r>
    </w:p>
    <w:p w:rsidR="00BC2067" w:rsidRDefault="00BC2067" w:rsidP="00BC2067">
      <w:pPr>
        <w:jc w:val="both"/>
        <w:rPr>
          <w:color w:val="000000" w:themeColor="text1"/>
        </w:rPr>
      </w:pPr>
    </w:p>
    <w:p w:rsidR="00BC2067" w:rsidRPr="0033151B" w:rsidRDefault="00BC2067" w:rsidP="00B051A6">
      <w:pPr>
        <w:pStyle w:val="Tablenotes"/>
      </w:pPr>
      <w:r w:rsidRPr="0033151B">
        <w:t xml:space="preserve">Note: </w:t>
      </w:r>
      <w:bookmarkStart w:id="27" w:name="OLE_LINK1"/>
      <w:bookmarkStart w:id="28" w:name="OLE_LINK2"/>
      <w:r w:rsidRPr="0033151B">
        <w:t>47% of the dataset (67) were not populated with any outcome codes (Null cases). This might be related to cases still being open, but it is not possible to confirm this based on provided data.</w:t>
      </w:r>
      <w:bookmarkEnd w:id="27"/>
      <w:bookmarkEnd w:id="28"/>
      <w:r>
        <w:t xml:space="preserve"> ‘WRONG CODE’ refers to the fact that it is unclear from the dataset documentation for the code (E) whether proceedings were issued or not. </w:t>
      </w:r>
    </w:p>
    <w:p w:rsidR="00BC2067" w:rsidRDefault="00BC2067" w:rsidP="00B051A6">
      <w:pPr>
        <w:pStyle w:val="Tablenotes"/>
      </w:pPr>
    </w:p>
    <w:p w:rsidR="00BC2067" w:rsidDel="00A96F38" w:rsidRDefault="00BC2067" w:rsidP="00B051A6">
      <w:pPr>
        <w:pStyle w:val="Tablenotes"/>
        <w:spacing w:after="420"/>
        <w:rPr>
          <w:noProof/>
        </w:rPr>
      </w:pPr>
      <w:r w:rsidDel="00A96F38">
        <w:rPr>
          <w:noProof/>
        </w:rPr>
        <w:t xml:space="preserve">Base: All </w:t>
      </w:r>
      <w:r>
        <w:rPr>
          <w:noProof/>
        </w:rPr>
        <w:t>PFC Other Category (Discrimination)</w:t>
      </w:r>
      <w:r w:rsidDel="00A96F38">
        <w:rPr>
          <w:noProof/>
        </w:rPr>
        <w:t xml:space="preserve"> grants (142)</w:t>
      </w:r>
      <w:r>
        <w:rPr>
          <w:noProof/>
        </w:rPr>
        <w:t>.</w:t>
      </w:r>
    </w:p>
    <w:p w:rsidR="00B051A6" w:rsidRDefault="00BC2067" w:rsidP="00B051A6">
      <w:pPr>
        <w:pStyle w:val="Parabeforetable"/>
      </w:pPr>
      <w:r w:rsidRPr="001B5993">
        <w:t>Figure 3.</w:t>
      </w:r>
      <w:r>
        <w:t>5</w:t>
      </w:r>
      <w:r w:rsidRPr="001B5993">
        <w:t xml:space="preserve"> shows that in 27% </w:t>
      </w:r>
      <w:r>
        <w:t xml:space="preserve">(39) </w:t>
      </w:r>
      <w:r w:rsidRPr="001B5993">
        <w:t xml:space="preserve">of granted applications, proceedings </w:t>
      </w:r>
      <w:r>
        <w:t xml:space="preserve">were issued but did not proceed to </w:t>
      </w:r>
      <w:r w:rsidR="00B051A6">
        <w:t>final hearing.</w:t>
      </w:r>
    </w:p>
    <w:p w:rsidR="00B051A6" w:rsidRDefault="00B051A6">
      <w:pPr>
        <w:spacing w:after="160" w:line="259" w:lineRule="auto"/>
        <w:rPr>
          <w:szCs w:val="24"/>
        </w:rPr>
      </w:pPr>
      <w:r>
        <w:br w:type="page"/>
      </w:r>
    </w:p>
    <w:p w:rsidR="00BC2067" w:rsidRPr="005B0583" w:rsidRDefault="00BC2067" w:rsidP="00B051A6">
      <w:pPr>
        <w:pStyle w:val="Title-tablesgrey"/>
        <w:rPr>
          <w:noProof/>
        </w:rPr>
      </w:pPr>
      <w:bookmarkStart w:id="29" w:name="_Toc11795961"/>
      <w:r>
        <w:rPr>
          <w:noProof/>
        </w:rPr>
        <w:lastRenderedPageBreak/>
        <w:t>Figure 3.6</w:t>
      </w:r>
      <w:r>
        <w:rPr>
          <w:noProof/>
        </w:rPr>
        <w:tab/>
        <w:t>Total number of PFC Other Category (Discrimination) grants by method of resolution</w:t>
      </w:r>
      <w:bookmarkEnd w:id="29"/>
    </w:p>
    <w:p w:rsidR="00BC2067" w:rsidRPr="00027614" w:rsidRDefault="00BC2067" w:rsidP="00BC2067">
      <w:pPr>
        <w:jc w:val="both"/>
        <w:rPr>
          <w:color w:val="000000" w:themeColor="text1"/>
        </w:rPr>
      </w:pPr>
      <w:r>
        <w:rPr>
          <w:noProof/>
          <w:lang w:eastAsia="en-GB"/>
        </w:rPr>
        <w:drawing>
          <wp:inline distT="0" distB="0" distL="0" distR="0" wp14:anchorId="63D00631" wp14:editId="3E8A6988">
            <wp:extent cx="6090920" cy="1825847"/>
            <wp:effectExtent l="0" t="0" r="5080" b="3175"/>
            <wp:docPr id="58" name="Picture 58" descr="Figure 3.6 Total number of PFC Other Category (Discrimination) grants by method of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30">
                      <a:extLst>
                        <a:ext uri="{28A0092B-C50C-407E-A947-70E740481C1C}">
                          <a14:useLocalDpi xmlns:a14="http://schemas.microsoft.com/office/drawing/2010/main" val="0"/>
                        </a:ext>
                      </a:extLst>
                    </a:blip>
                    <a:srcRect t="12465"/>
                    <a:stretch/>
                  </pic:blipFill>
                  <pic:spPr bwMode="auto">
                    <a:xfrm>
                      <a:off x="0" y="0"/>
                      <a:ext cx="6095702" cy="1827280"/>
                    </a:xfrm>
                    <a:prstGeom prst="rect">
                      <a:avLst/>
                    </a:prstGeom>
                    <a:noFill/>
                    <a:ln>
                      <a:noFill/>
                    </a:ln>
                    <a:extLst>
                      <a:ext uri="{53640926-AAD7-44D8-BBD7-CCE9431645EC}">
                        <a14:shadowObscured xmlns:a14="http://schemas.microsoft.com/office/drawing/2010/main"/>
                      </a:ext>
                    </a:extLst>
                  </pic:spPr>
                </pic:pic>
              </a:graphicData>
            </a:graphic>
          </wp:inline>
        </w:drawing>
      </w:r>
    </w:p>
    <w:p w:rsidR="00BC2067" w:rsidRPr="00027614" w:rsidRDefault="00BC2067" w:rsidP="00B051A6">
      <w:pPr>
        <w:pStyle w:val="Tablenotes"/>
      </w:pPr>
      <w:r>
        <w:t xml:space="preserve">Note: </w:t>
      </w:r>
      <w:r w:rsidRPr="00027614">
        <w:t xml:space="preserve">Null records 47% (67) relate to cases where no outcome code </w:t>
      </w:r>
      <w:r>
        <w:t>is</w:t>
      </w:r>
      <w:r w:rsidRPr="00027614">
        <w:t xml:space="preserve"> available in the dataset.</w:t>
      </w:r>
    </w:p>
    <w:p w:rsidR="00BC2067" w:rsidRDefault="00BC2067" w:rsidP="00B051A6">
      <w:pPr>
        <w:pStyle w:val="Tablenotes"/>
      </w:pPr>
    </w:p>
    <w:p w:rsidR="00BC2067" w:rsidDel="00A96F38" w:rsidRDefault="00BC2067" w:rsidP="00B051A6">
      <w:pPr>
        <w:pStyle w:val="Tablenotes"/>
        <w:spacing w:after="420"/>
        <w:rPr>
          <w:noProof/>
        </w:rPr>
      </w:pPr>
      <w:r w:rsidDel="00A96F38">
        <w:rPr>
          <w:noProof/>
        </w:rPr>
        <w:t xml:space="preserve">Base: All </w:t>
      </w:r>
      <w:r>
        <w:rPr>
          <w:noProof/>
        </w:rPr>
        <w:t>PFC Other Category (Discrimination)</w:t>
      </w:r>
      <w:r w:rsidDel="00A96F38">
        <w:rPr>
          <w:noProof/>
        </w:rPr>
        <w:t xml:space="preserve"> grants (142)</w:t>
      </w:r>
      <w:r>
        <w:rPr>
          <w:noProof/>
        </w:rPr>
        <w:t>.</w:t>
      </w:r>
    </w:p>
    <w:p w:rsidR="00BC2067" w:rsidRPr="00B051A6" w:rsidRDefault="00BC2067" w:rsidP="00B051A6">
      <w:pPr>
        <w:pStyle w:val="Parabeforetable"/>
      </w:pPr>
      <w:r>
        <w:t xml:space="preserve">Figure 3.6 shows that </w:t>
      </w:r>
      <w:r w:rsidRPr="001B5993">
        <w:t xml:space="preserve">18% </w:t>
      </w:r>
      <w:r>
        <w:t xml:space="preserve">(26) </w:t>
      </w:r>
      <w:r w:rsidRPr="001B5993">
        <w:t xml:space="preserve">of the cases were withdrawn on </w:t>
      </w:r>
      <w:r>
        <w:t xml:space="preserve">the </w:t>
      </w:r>
      <w:r w:rsidRPr="001B5993">
        <w:t>solicitor or counsel’s recommendation and</w:t>
      </w:r>
      <w:r>
        <w:t>,</w:t>
      </w:r>
      <w:r w:rsidRPr="001B5993">
        <w:t xml:space="preserve"> of those</w:t>
      </w:r>
      <w:r>
        <w:t>,</w:t>
      </w:r>
      <w:r w:rsidRPr="001B5993">
        <w:t xml:space="preserve"> 1 had </w:t>
      </w:r>
      <w:r>
        <w:t xml:space="preserve">a </w:t>
      </w:r>
      <w:r w:rsidRPr="001B5993">
        <w:t xml:space="preserve">positive, 22 </w:t>
      </w:r>
      <w:r>
        <w:t xml:space="preserve">had a </w:t>
      </w:r>
      <w:r w:rsidRPr="001B5993">
        <w:t>negative</w:t>
      </w:r>
      <w:r>
        <w:t>,</w:t>
      </w:r>
      <w:r w:rsidRPr="001B5993">
        <w:t xml:space="preserve"> and 3</w:t>
      </w:r>
      <w:r>
        <w:t xml:space="preserve"> had an</w:t>
      </w:r>
      <w:r w:rsidRPr="001B5993">
        <w:t xml:space="preserve"> unknown result.</w:t>
      </w:r>
      <w:r>
        <w:t xml:space="preserve"> O</w:t>
      </w:r>
      <w:r w:rsidRPr="001B5993">
        <w:t>f the cases</w:t>
      </w:r>
      <w:r>
        <w:t xml:space="preserve">, </w:t>
      </w:r>
      <w:r w:rsidRPr="001B5993">
        <w:t xml:space="preserve">18% </w:t>
      </w:r>
      <w:r>
        <w:t>(25)</w:t>
      </w:r>
      <w:r w:rsidRPr="001B5993">
        <w:t xml:space="preserve"> were </w:t>
      </w:r>
      <w:r>
        <w:t>s</w:t>
      </w:r>
      <w:r w:rsidRPr="001B5993">
        <w:t>ettled and</w:t>
      </w:r>
      <w:r>
        <w:t>,</w:t>
      </w:r>
      <w:r w:rsidRPr="001B5993">
        <w:t xml:space="preserve"> of those</w:t>
      </w:r>
      <w:r>
        <w:t>,</w:t>
      </w:r>
      <w:r w:rsidRPr="001B5993">
        <w:t xml:space="preserve"> 22 had </w:t>
      </w:r>
      <w:r>
        <w:t xml:space="preserve">a </w:t>
      </w:r>
      <w:r w:rsidRPr="001B5993">
        <w:t xml:space="preserve">positive </w:t>
      </w:r>
      <w:r>
        <w:t>result and 3 had a n</w:t>
      </w:r>
      <w:r w:rsidRPr="001B5993">
        <w:t>egative result.</w:t>
      </w:r>
    </w:p>
    <w:p w:rsidR="00BC2067" w:rsidRPr="005B0583" w:rsidRDefault="00BC2067" w:rsidP="00B051A6">
      <w:pPr>
        <w:pStyle w:val="Title-tablesgrey"/>
        <w:rPr>
          <w:noProof/>
        </w:rPr>
      </w:pPr>
      <w:bookmarkStart w:id="30" w:name="_Toc11795962"/>
      <w:r>
        <w:rPr>
          <w:noProof/>
        </w:rPr>
        <w:t>Figure 3.7</w:t>
      </w:r>
      <w:r>
        <w:rPr>
          <w:noProof/>
        </w:rPr>
        <w:tab/>
        <w:t>Total number of PFC Other Category (Discrimination) grants by result</w:t>
      </w:r>
      <w:bookmarkEnd w:id="30"/>
    </w:p>
    <w:p w:rsidR="00BC2067" w:rsidRPr="00027614" w:rsidRDefault="00BC2067" w:rsidP="00BC2067">
      <w:pPr>
        <w:jc w:val="both"/>
        <w:rPr>
          <w:color w:val="000000" w:themeColor="text1"/>
        </w:rPr>
      </w:pPr>
      <w:r>
        <w:rPr>
          <w:noProof/>
          <w:lang w:eastAsia="en-GB"/>
        </w:rPr>
        <w:drawing>
          <wp:inline distT="0" distB="0" distL="0" distR="0" wp14:anchorId="5EFF572D" wp14:editId="04C05236">
            <wp:extent cx="6352258" cy="1273126"/>
            <wp:effectExtent l="0" t="0" r="0" b="3810"/>
            <wp:docPr id="62" name="Picture 62" descr="Figure 3.7 Total number of PFC Other Category (Discrimination) grants by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78081" cy="1278301"/>
                    </a:xfrm>
                    <a:prstGeom prst="rect">
                      <a:avLst/>
                    </a:prstGeom>
                    <a:noFill/>
                    <a:ln>
                      <a:noFill/>
                    </a:ln>
                  </pic:spPr>
                </pic:pic>
              </a:graphicData>
            </a:graphic>
          </wp:inline>
        </w:drawing>
      </w:r>
    </w:p>
    <w:p w:rsidR="00BC2067" w:rsidRPr="00027614" w:rsidRDefault="00BC2067" w:rsidP="00B051A6">
      <w:pPr>
        <w:pStyle w:val="Tablenotes"/>
      </w:pPr>
      <w:r>
        <w:t xml:space="preserve">Note: </w:t>
      </w:r>
      <w:r w:rsidRPr="00027614">
        <w:t>Null records 47% (67) relate to cases where no outcome code has been available in the dataset.</w:t>
      </w:r>
    </w:p>
    <w:p w:rsidR="00BC2067" w:rsidRDefault="00BC2067" w:rsidP="00B051A6">
      <w:pPr>
        <w:pStyle w:val="Tablenotes"/>
        <w:rPr>
          <w:noProof/>
        </w:rPr>
      </w:pPr>
    </w:p>
    <w:p w:rsidR="00BC2067" w:rsidRDefault="00BC2067" w:rsidP="00B051A6">
      <w:pPr>
        <w:pStyle w:val="Tablenotes"/>
        <w:spacing w:after="420"/>
        <w:rPr>
          <w:noProof/>
        </w:rPr>
      </w:pPr>
      <w:r w:rsidDel="00A96F38">
        <w:rPr>
          <w:noProof/>
        </w:rPr>
        <w:t xml:space="preserve">Base: All </w:t>
      </w:r>
      <w:r>
        <w:rPr>
          <w:noProof/>
        </w:rPr>
        <w:t>PFC Other Category (Discrimination)</w:t>
      </w:r>
      <w:r w:rsidDel="00A96F38">
        <w:rPr>
          <w:noProof/>
        </w:rPr>
        <w:t xml:space="preserve"> grants (142)</w:t>
      </w:r>
      <w:r>
        <w:rPr>
          <w:noProof/>
        </w:rPr>
        <w:t>.</w:t>
      </w:r>
    </w:p>
    <w:p w:rsidR="00B051A6" w:rsidRDefault="00BC2067" w:rsidP="00B051A6">
      <w:pPr>
        <w:pStyle w:val="Parabeforenewsection"/>
        <w:sectPr w:rsidR="00B051A6" w:rsidSect="00172390">
          <w:headerReference w:type="first" r:id="rId32"/>
          <w:pgSz w:w="11906" w:h="16838"/>
          <w:pgMar w:top="1440" w:right="1440" w:bottom="1440" w:left="1440" w:header="708" w:footer="708" w:gutter="0"/>
          <w:cols w:space="708"/>
          <w:titlePg/>
          <w:docGrid w:linePitch="360"/>
        </w:sectPr>
      </w:pPr>
      <w:r w:rsidRPr="001B5993">
        <w:t>Figure 3.</w:t>
      </w:r>
      <w:r>
        <w:t>7</w:t>
      </w:r>
      <w:r w:rsidRPr="001B5993">
        <w:t xml:space="preserve"> shows that</w:t>
      </w:r>
      <w:r>
        <w:t>,</w:t>
      </w:r>
      <w:r w:rsidRPr="001B5993">
        <w:t xml:space="preserve"> </w:t>
      </w:r>
      <w:r>
        <w:t>of the 75 cases for which an outcome code was available, more than half (40</w:t>
      </w:r>
      <w:r w:rsidRPr="001B5993">
        <w:t>) had no specific code allocated to the case result and</w:t>
      </w:r>
      <w:r>
        <w:t xml:space="preserve"> did not result in a positive outcome; 10 cases</w:t>
      </w:r>
      <w:r w:rsidRPr="001B5993">
        <w:t xml:space="preserve"> had an unknown result code with no additional information available</w:t>
      </w:r>
      <w:r>
        <w:t>; and</w:t>
      </w:r>
      <w:r w:rsidRPr="00167C4A">
        <w:t xml:space="preserve"> </w:t>
      </w:r>
      <w:r w:rsidRPr="001B5993">
        <w:t>the remaining 25 had a positive outcome</w:t>
      </w:r>
      <w:r>
        <w:t>. Of these 25 with a positive outcome, 10 involved the client receiving a settlement with significant benefits in their favour from the settlement</w:t>
      </w:r>
      <w:r w:rsidRPr="001B5993">
        <w:t>.</w:t>
      </w:r>
    </w:p>
    <w:p w:rsidR="00BC2067" w:rsidRPr="001B5993" w:rsidRDefault="00B051A6" w:rsidP="00B051A6">
      <w:pPr>
        <w:pStyle w:val="Title-chaptergrey"/>
      </w:pPr>
      <w:bookmarkStart w:id="31" w:name="_Toc11795963"/>
      <w:r>
        <w:lastRenderedPageBreak/>
        <w:t xml:space="preserve">4. </w:t>
      </w:r>
      <w:r w:rsidR="00BC2067">
        <w:t>Refusals</w:t>
      </w:r>
      <w:bookmarkEnd w:id="31"/>
      <w:r w:rsidR="00BC2067">
        <w:t xml:space="preserve"> </w:t>
      </w:r>
    </w:p>
    <w:p w:rsidR="00BC2067" w:rsidRPr="00B051A6" w:rsidRDefault="00BC2067" w:rsidP="00B051A6">
      <w:pPr>
        <w:pStyle w:val="Parabeforetable"/>
      </w:pPr>
      <w:r w:rsidRPr="001B5993">
        <w:t>The LAA dataset include</w:t>
      </w:r>
      <w:r>
        <w:t>s</w:t>
      </w:r>
      <w:r w:rsidRPr="001B5993">
        <w:t xml:space="preserve"> information on 25 refused PFC applications, covering both PFC </w:t>
      </w:r>
      <w:r>
        <w:t>D</w:t>
      </w:r>
      <w:r w:rsidRPr="001B5993">
        <w:t xml:space="preserve">iscrimination and </w:t>
      </w:r>
      <w:r>
        <w:t>PFC Other Category (Discrimination)</w:t>
      </w:r>
      <w:r w:rsidRPr="001B5993">
        <w:t xml:space="preserve"> cases. These were recorded in both the CIS and CCMS management systems. Since the number of refusals is small, only tentative conclusions </w:t>
      </w:r>
      <w:r>
        <w:t xml:space="preserve">can be drawn </w:t>
      </w:r>
      <w:r w:rsidRPr="001B5993">
        <w:t>from the data.</w:t>
      </w:r>
    </w:p>
    <w:p w:rsidR="00BC2067" w:rsidRPr="00B051A6" w:rsidRDefault="00BC2067" w:rsidP="00B051A6">
      <w:pPr>
        <w:pStyle w:val="Title-tablesgrey"/>
        <w:rPr>
          <w:noProof/>
        </w:rPr>
      </w:pPr>
      <w:bookmarkStart w:id="32" w:name="_Toc11795964"/>
      <w:r>
        <w:rPr>
          <w:noProof/>
        </w:rPr>
        <w:t>Table 4.1</w:t>
      </w:r>
      <w:r>
        <w:rPr>
          <w:noProof/>
        </w:rPr>
        <w:tab/>
        <w:t>Total number of refused applications, 2013/14 to 2017/18</w:t>
      </w:r>
      <w:bookmarkEnd w:id="32"/>
    </w:p>
    <w:p w:rsidR="00BC2067" w:rsidRPr="00027614" w:rsidRDefault="00BC2067" w:rsidP="00BC2067">
      <w:pPr>
        <w:jc w:val="both"/>
        <w:rPr>
          <w:color w:val="000000" w:themeColor="text1"/>
        </w:rPr>
      </w:pPr>
      <w:bookmarkStart w:id="33" w:name="_GoBack"/>
      <w:r>
        <w:rPr>
          <w:noProof/>
          <w:lang w:eastAsia="en-GB"/>
        </w:rPr>
        <w:drawing>
          <wp:inline distT="0" distB="0" distL="0" distR="0" wp14:anchorId="611E9491" wp14:editId="6D366C4B">
            <wp:extent cx="1576388" cy="1480820"/>
            <wp:effectExtent l="0" t="0" r="5080" b="5080"/>
            <wp:docPr id="66" name="Picture 66" descr="Table 4.1 Total number of refused applications, 2013/14 to 20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594213" cy="1497564"/>
                    </a:xfrm>
                    <a:prstGeom prst="rect">
                      <a:avLst/>
                    </a:prstGeom>
                  </pic:spPr>
                </pic:pic>
              </a:graphicData>
            </a:graphic>
          </wp:inline>
        </w:drawing>
      </w:r>
      <w:bookmarkEnd w:id="33"/>
    </w:p>
    <w:p w:rsidR="00BC2067" w:rsidRPr="00B051A6" w:rsidRDefault="00BC2067" w:rsidP="00B051A6">
      <w:pPr>
        <w:pStyle w:val="Tablenotes"/>
        <w:spacing w:after="420"/>
        <w:rPr>
          <w:noProof/>
        </w:rPr>
      </w:pPr>
      <w:r>
        <w:rPr>
          <w:noProof/>
        </w:rPr>
        <w:t>Base: All refused applications (25).</w:t>
      </w:r>
    </w:p>
    <w:p w:rsidR="00BC2067" w:rsidRPr="00B051A6" w:rsidRDefault="00BC2067" w:rsidP="00B051A6">
      <w:pPr>
        <w:pStyle w:val="Parabeforetable"/>
      </w:pPr>
      <w:r w:rsidRPr="001B5993">
        <w:t>Table 4.1 shows that the number of refused applications</w:t>
      </w:r>
      <w:r>
        <w:t xml:space="preserve"> </w:t>
      </w:r>
      <w:r w:rsidRPr="001B5993">
        <w:t>in both 2016</w:t>
      </w:r>
      <w:r>
        <w:t>/</w:t>
      </w:r>
      <w:r w:rsidRPr="001B5993">
        <w:t>17 and 2017</w:t>
      </w:r>
      <w:r>
        <w:t>/</w:t>
      </w:r>
      <w:r w:rsidRPr="001B5993">
        <w:t xml:space="preserve">18 </w:t>
      </w:r>
      <w:r>
        <w:t xml:space="preserve">represented an </w:t>
      </w:r>
      <w:r w:rsidRPr="001B5993">
        <w:t>increase</w:t>
      </w:r>
      <w:r>
        <w:t xml:space="preserve"> when</w:t>
      </w:r>
      <w:r w:rsidRPr="001B5993">
        <w:t xml:space="preserve"> compared with earlier years. This</w:t>
      </w:r>
      <w:r>
        <w:t xml:space="preserve"> pattern</w:t>
      </w:r>
      <w:r w:rsidRPr="001B5993">
        <w:t xml:space="preserve"> is in line with the overall increase in successful applications for those years.</w:t>
      </w:r>
    </w:p>
    <w:p w:rsidR="00BC2067" w:rsidRPr="00B051A6" w:rsidRDefault="00BC2067" w:rsidP="00B051A6">
      <w:pPr>
        <w:pStyle w:val="Title-tablesgrey"/>
        <w:rPr>
          <w:noProof/>
        </w:rPr>
      </w:pPr>
      <w:bookmarkStart w:id="34" w:name="_Toc11795965"/>
      <w:r>
        <w:rPr>
          <w:noProof/>
        </w:rPr>
        <w:t>Figure 4.2</w:t>
      </w:r>
      <w:r>
        <w:rPr>
          <w:noProof/>
        </w:rPr>
        <w:tab/>
        <w:t>Total number of refused applications by type of provider</w:t>
      </w:r>
      <w:bookmarkEnd w:id="34"/>
    </w:p>
    <w:p w:rsidR="00BC2067" w:rsidRPr="00027614" w:rsidRDefault="00BC2067" w:rsidP="00BC2067">
      <w:pPr>
        <w:jc w:val="both"/>
        <w:rPr>
          <w:color w:val="000000" w:themeColor="text1"/>
        </w:rPr>
      </w:pPr>
      <w:r>
        <w:rPr>
          <w:noProof/>
          <w:lang w:eastAsia="en-GB"/>
        </w:rPr>
        <w:drawing>
          <wp:inline distT="0" distB="0" distL="0" distR="0" wp14:anchorId="5BE56F7B" wp14:editId="0BF2B3CE">
            <wp:extent cx="5233332" cy="448385"/>
            <wp:effectExtent l="0" t="0" r="5715" b="8890"/>
            <wp:docPr id="67" name="Picture 67" descr="Figure 4.2 Total number of refused applications by type of pro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a:extLst>
                        <a:ext uri="{28A0092B-C50C-407E-A947-70E740481C1C}">
                          <a14:useLocalDpi xmlns:a14="http://schemas.microsoft.com/office/drawing/2010/main" val="0"/>
                        </a:ext>
                      </a:extLst>
                    </a:blip>
                    <a:srcRect t="33448"/>
                    <a:stretch/>
                  </pic:blipFill>
                  <pic:spPr bwMode="auto">
                    <a:xfrm>
                      <a:off x="0" y="0"/>
                      <a:ext cx="5384288" cy="461319"/>
                    </a:xfrm>
                    <a:prstGeom prst="rect">
                      <a:avLst/>
                    </a:prstGeom>
                    <a:noFill/>
                    <a:ln>
                      <a:noFill/>
                    </a:ln>
                    <a:extLst>
                      <a:ext uri="{53640926-AAD7-44D8-BBD7-CCE9431645EC}">
                        <a14:shadowObscured xmlns:a14="http://schemas.microsoft.com/office/drawing/2010/main"/>
                      </a:ext>
                    </a:extLst>
                  </pic:spPr>
                </pic:pic>
              </a:graphicData>
            </a:graphic>
          </wp:inline>
        </w:drawing>
      </w:r>
    </w:p>
    <w:p w:rsidR="00BC2067" w:rsidRDefault="00BC2067" w:rsidP="00BC2067">
      <w:pPr>
        <w:jc w:val="both"/>
        <w:rPr>
          <w:color w:val="000000" w:themeColor="text1"/>
        </w:rPr>
      </w:pPr>
    </w:p>
    <w:p w:rsidR="00BC2067" w:rsidRDefault="00B051A6" w:rsidP="00B051A6">
      <w:pPr>
        <w:pStyle w:val="Tablenotes"/>
      </w:pPr>
      <w:r>
        <w:t xml:space="preserve">Notes: </w:t>
      </w:r>
      <w:r w:rsidR="00BC2067">
        <w:t>Y: applications made by CLA specialist discrimination providers</w:t>
      </w:r>
    </w:p>
    <w:p w:rsidR="00BC2067" w:rsidRDefault="00BC2067" w:rsidP="00B051A6">
      <w:pPr>
        <w:pStyle w:val="Tablenotes"/>
      </w:pPr>
      <w:r>
        <w:tab/>
        <w:t>N: applications made by other legal aid providers</w:t>
      </w:r>
    </w:p>
    <w:p w:rsidR="00BC2067" w:rsidRDefault="00BC2067" w:rsidP="00B051A6">
      <w:pPr>
        <w:pStyle w:val="Tablenotes"/>
      </w:pPr>
    </w:p>
    <w:p w:rsidR="00BC2067" w:rsidDel="00F928BF" w:rsidRDefault="00BC2067" w:rsidP="00B051A6">
      <w:pPr>
        <w:pStyle w:val="Tablenotes"/>
        <w:spacing w:after="420"/>
        <w:rPr>
          <w:noProof/>
        </w:rPr>
      </w:pPr>
      <w:r w:rsidDel="00F928BF">
        <w:rPr>
          <w:noProof/>
        </w:rPr>
        <w:t>Base: All refused applications (25)</w:t>
      </w:r>
      <w:r>
        <w:rPr>
          <w:noProof/>
        </w:rPr>
        <w:t>.</w:t>
      </w:r>
    </w:p>
    <w:p w:rsidR="00BC2067" w:rsidRPr="001B5993" w:rsidRDefault="00BC2067" w:rsidP="00B051A6">
      <w:pPr>
        <w:pStyle w:val="Parabeforenewsection"/>
      </w:pPr>
      <w:r w:rsidRPr="001B5993">
        <w:t xml:space="preserve">Figure 4.2 compares the number of applications which were </w:t>
      </w:r>
      <w:r>
        <w:t>made by</w:t>
      </w:r>
      <w:r w:rsidRPr="001B5993">
        <w:t xml:space="preserve"> a CLA specialist</w:t>
      </w:r>
      <w:r>
        <w:t xml:space="preserve"> discrimination provider</w:t>
      </w:r>
      <w:r w:rsidRPr="001B5993">
        <w:t xml:space="preserve"> </w:t>
      </w:r>
      <w:r>
        <w:t>with</w:t>
      </w:r>
      <w:r w:rsidRPr="001B5993">
        <w:t xml:space="preserve"> those which were </w:t>
      </w:r>
      <w:r>
        <w:t>made by other legal aid providers</w:t>
      </w:r>
      <w:r w:rsidRPr="001B5993">
        <w:t>. It shows that the majority (14 out of 25) were made by specialist</w:t>
      </w:r>
      <w:r>
        <w:t xml:space="preserve"> providers</w:t>
      </w:r>
      <w:r w:rsidRPr="001B5993">
        <w:t>.</w:t>
      </w:r>
    </w:p>
    <w:p w:rsidR="00BC2067" w:rsidRDefault="00BC2067" w:rsidP="00B051A6">
      <w:pPr>
        <w:pStyle w:val="Title-tablesgrey"/>
      </w:pPr>
      <w:bookmarkStart w:id="35" w:name="_Toc11795966"/>
      <w:r>
        <w:rPr>
          <w:noProof/>
        </w:rPr>
        <w:lastRenderedPageBreak/>
        <w:t>Figure 4.3</w:t>
      </w:r>
      <w:r>
        <w:rPr>
          <w:noProof/>
        </w:rPr>
        <w:tab/>
        <w:t>Total number of refused applications by disability</w:t>
      </w:r>
      <w:bookmarkEnd w:id="35"/>
    </w:p>
    <w:p w:rsidR="00BC2067" w:rsidRDefault="00BC2067" w:rsidP="00BC2067">
      <w:pPr>
        <w:jc w:val="both"/>
        <w:rPr>
          <w:color w:val="000000" w:themeColor="text1"/>
        </w:rPr>
      </w:pPr>
      <w:r>
        <w:rPr>
          <w:noProof/>
          <w:lang w:eastAsia="en-GB"/>
        </w:rPr>
        <w:drawing>
          <wp:inline distT="0" distB="0" distL="0" distR="0" wp14:anchorId="78E88B72" wp14:editId="0C3A9BAA">
            <wp:extent cx="6433075" cy="1818167"/>
            <wp:effectExtent l="0" t="0" r="6350" b="0"/>
            <wp:docPr id="68" name="Picture 68" descr="Figure 4.3 Total number of refused applications by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51521" cy="1823380"/>
                    </a:xfrm>
                    <a:prstGeom prst="rect">
                      <a:avLst/>
                    </a:prstGeom>
                    <a:noFill/>
                    <a:ln>
                      <a:noFill/>
                    </a:ln>
                  </pic:spPr>
                </pic:pic>
              </a:graphicData>
            </a:graphic>
          </wp:inline>
        </w:drawing>
      </w:r>
    </w:p>
    <w:p w:rsidR="00BC2067" w:rsidRPr="00027614" w:rsidRDefault="00BC2067" w:rsidP="00BC2067">
      <w:pPr>
        <w:jc w:val="both"/>
        <w:rPr>
          <w:color w:val="000000" w:themeColor="text1"/>
        </w:rPr>
      </w:pPr>
    </w:p>
    <w:p w:rsidR="00BC2067" w:rsidRDefault="00BC2067" w:rsidP="00B051A6">
      <w:pPr>
        <w:pStyle w:val="Tablenotes"/>
        <w:rPr>
          <w:noProof/>
        </w:rPr>
      </w:pPr>
      <w:r w:rsidDel="00F928BF">
        <w:rPr>
          <w:noProof/>
        </w:rPr>
        <w:t>Base: All refused applications (25)</w:t>
      </w:r>
      <w:r>
        <w:rPr>
          <w:noProof/>
        </w:rPr>
        <w:t>.</w:t>
      </w:r>
    </w:p>
    <w:p w:rsidR="00BC2067" w:rsidRDefault="00BC2067" w:rsidP="00B051A6">
      <w:pPr>
        <w:pStyle w:val="Tablenotes"/>
      </w:pPr>
    </w:p>
    <w:p w:rsidR="00BC2067" w:rsidRPr="00B051A6" w:rsidRDefault="00BC2067" w:rsidP="00B051A6">
      <w:pPr>
        <w:pStyle w:val="Tablenotes"/>
        <w:spacing w:after="420"/>
        <w:rPr>
          <w:sz w:val="24"/>
          <w:szCs w:val="24"/>
        </w:rPr>
      </w:pPr>
      <w:r w:rsidRPr="001B5993">
        <w:rPr>
          <w:sz w:val="24"/>
          <w:szCs w:val="24"/>
        </w:rPr>
        <w:t>Figure 4.3 shows that most clients who were refused a PFC were disabled (17 out of 22 cases, excluding the null and unknown categories).</w:t>
      </w:r>
    </w:p>
    <w:p w:rsidR="00BC2067" w:rsidRPr="00027614" w:rsidRDefault="00BC2067" w:rsidP="00B051A6">
      <w:pPr>
        <w:pStyle w:val="Title-tablesgrey"/>
      </w:pPr>
      <w:bookmarkStart w:id="36" w:name="_Toc11795967"/>
      <w:r>
        <w:rPr>
          <w:noProof/>
        </w:rPr>
        <w:t>Figure 4.4</w:t>
      </w:r>
      <w:r>
        <w:rPr>
          <w:noProof/>
        </w:rPr>
        <w:tab/>
        <w:t>Total number of refused applications by category of law</w:t>
      </w:r>
      <w:bookmarkEnd w:id="36"/>
    </w:p>
    <w:p w:rsidR="00BC2067" w:rsidRPr="00027614" w:rsidRDefault="00BC2067" w:rsidP="00BC2067">
      <w:pPr>
        <w:jc w:val="both"/>
        <w:rPr>
          <w:color w:val="000000" w:themeColor="text1"/>
        </w:rPr>
      </w:pPr>
      <w:r>
        <w:rPr>
          <w:noProof/>
          <w:lang w:eastAsia="en-GB"/>
        </w:rPr>
        <w:drawing>
          <wp:inline distT="0" distB="0" distL="0" distR="0" wp14:anchorId="3F7276FD" wp14:editId="254BA486">
            <wp:extent cx="5731510" cy="1327337"/>
            <wp:effectExtent l="0" t="0" r="2540" b="6350"/>
            <wp:docPr id="70" name="Picture 70" descr="Figure 4.4 Total number of refused applications by category of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6">
                      <a:extLst>
                        <a:ext uri="{28A0092B-C50C-407E-A947-70E740481C1C}">
                          <a14:useLocalDpi xmlns:a14="http://schemas.microsoft.com/office/drawing/2010/main" val="0"/>
                        </a:ext>
                      </a:extLst>
                    </a:blip>
                    <a:srcRect t="14751"/>
                    <a:stretch/>
                  </pic:blipFill>
                  <pic:spPr bwMode="auto">
                    <a:xfrm>
                      <a:off x="0" y="0"/>
                      <a:ext cx="5731510" cy="1327337"/>
                    </a:xfrm>
                    <a:prstGeom prst="rect">
                      <a:avLst/>
                    </a:prstGeom>
                    <a:noFill/>
                    <a:ln>
                      <a:noFill/>
                    </a:ln>
                    <a:extLst>
                      <a:ext uri="{53640926-AAD7-44D8-BBD7-CCE9431645EC}">
                        <a14:shadowObscured xmlns:a14="http://schemas.microsoft.com/office/drawing/2010/main"/>
                      </a:ext>
                    </a:extLst>
                  </pic:spPr>
                </pic:pic>
              </a:graphicData>
            </a:graphic>
          </wp:inline>
        </w:drawing>
      </w:r>
    </w:p>
    <w:p w:rsidR="00BC2067" w:rsidRDefault="00BC2067" w:rsidP="00BC2067">
      <w:pPr>
        <w:jc w:val="both"/>
        <w:rPr>
          <w:color w:val="000000" w:themeColor="text1"/>
        </w:rPr>
      </w:pPr>
    </w:p>
    <w:p w:rsidR="00BC2067" w:rsidRPr="00644304" w:rsidRDefault="00B051A6" w:rsidP="00B051A6">
      <w:pPr>
        <w:pStyle w:val="Tablenotes"/>
      </w:pPr>
      <w:r>
        <w:t xml:space="preserve">Notes: </w:t>
      </w:r>
      <w:r w:rsidR="00BC2067" w:rsidRPr="00644304">
        <w:t>Y: applications made by CLA specialist discrimination providers</w:t>
      </w:r>
    </w:p>
    <w:p w:rsidR="00BC2067" w:rsidRDefault="00BC2067" w:rsidP="00B051A6">
      <w:pPr>
        <w:pStyle w:val="Tablenotes"/>
      </w:pPr>
      <w:r w:rsidRPr="00644304">
        <w:tab/>
        <w:t>N: applications made by other legal aid providers</w:t>
      </w:r>
      <w:r w:rsidRPr="00644304" w:rsidDel="00644304">
        <w:t xml:space="preserve"> </w:t>
      </w:r>
    </w:p>
    <w:p w:rsidR="00BC2067" w:rsidRDefault="00BC2067" w:rsidP="00B051A6">
      <w:pPr>
        <w:pStyle w:val="Tablenotes"/>
        <w:rPr>
          <w:noProof/>
        </w:rPr>
      </w:pPr>
    </w:p>
    <w:p w:rsidR="00BC2067" w:rsidDel="00FA72A2" w:rsidRDefault="00BC2067" w:rsidP="00B051A6">
      <w:pPr>
        <w:pStyle w:val="Tablenotes"/>
        <w:spacing w:after="420"/>
        <w:rPr>
          <w:noProof/>
        </w:rPr>
      </w:pPr>
      <w:r w:rsidDel="00FA72A2">
        <w:rPr>
          <w:noProof/>
        </w:rPr>
        <w:t>Base: All refused applications (25)</w:t>
      </w:r>
      <w:r>
        <w:rPr>
          <w:noProof/>
        </w:rPr>
        <w:t>.</w:t>
      </w:r>
    </w:p>
    <w:p w:rsidR="00B051A6" w:rsidRPr="00B051A6" w:rsidRDefault="00BC2067" w:rsidP="00B051A6">
      <w:pPr>
        <w:pStyle w:val="Parabeforeanother"/>
      </w:pPr>
      <w:r w:rsidRPr="001B5993">
        <w:t xml:space="preserve">Figure 4.4 shows that refusals were fairly evenly divided between </w:t>
      </w:r>
      <w:r>
        <w:t>total D</w:t>
      </w:r>
      <w:r w:rsidRPr="001B5993">
        <w:t xml:space="preserve">iscrimination and </w:t>
      </w:r>
      <w:r>
        <w:t>Other Category</w:t>
      </w:r>
      <w:r w:rsidRPr="001B5993">
        <w:t xml:space="preserve"> </w:t>
      </w:r>
      <w:r>
        <w:t>(D</w:t>
      </w:r>
      <w:r w:rsidRPr="001B5993">
        <w:t>iscrimination</w:t>
      </w:r>
      <w:r>
        <w:t>)</w:t>
      </w:r>
      <w:r w:rsidRPr="001B5993">
        <w:t xml:space="preserve"> cases</w:t>
      </w:r>
      <w:r>
        <w:t xml:space="preserve"> (13) and other cases (12)</w:t>
      </w:r>
      <w:r w:rsidR="00B051A6">
        <w:t>.</w:t>
      </w:r>
    </w:p>
    <w:p w:rsidR="00B051A6" w:rsidRDefault="00BC2067" w:rsidP="00B051A6">
      <w:pPr>
        <w:pStyle w:val="Parabeforetable"/>
      </w:pPr>
      <w:r>
        <w:t xml:space="preserve">Figure 4.5 summarises all the reasons that are given for each refused application. </w:t>
      </w:r>
      <w:r>
        <w:rPr>
          <w:noProof/>
        </w:rPr>
        <w:t>A</w:t>
      </w:r>
      <w:r w:rsidRPr="004F4BC5">
        <w:rPr>
          <w:noProof/>
        </w:rPr>
        <w:t xml:space="preserve">n application for a PFC </w:t>
      </w:r>
      <w:r>
        <w:rPr>
          <w:noProof/>
        </w:rPr>
        <w:t xml:space="preserve">can be </w:t>
      </w:r>
      <w:r w:rsidRPr="004F4BC5">
        <w:rPr>
          <w:noProof/>
        </w:rPr>
        <w:t xml:space="preserve">refused </w:t>
      </w:r>
      <w:r>
        <w:rPr>
          <w:noProof/>
        </w:rPr>
        <w:t xml:space="preserve">for </w:t>
      </w:r>
      <w:r w:rsidRPr="004F4BC5">
        <w:rPr>
          <w:noProof/>
        </w:rPr>
        <w:t>more than one reason</w:t>
      </w:r>
      <w:r>
        <w:rPr>
          <w:noProof/>
        </w:rPr>
        <w:t>, and</w:t>
      </w:r>
      <w:r w:rsidRPr="004F4BC5">
        <w:rPr>
          <w:noProof/>
        </w:rPr>
        <w:t xml:space="preserve"> </w:t>
      </w:r>
      <w:r>
        <w:rPr>
          <w:noProof/>
        </w:rPr>
        <w:t>u</w:t>
      </w:r>
      <w:r w:rsidRPr="004F4BC5">
        <w:rPr>
          <w:noProof/>
        </w:rPr>
        <w:t xml:space="preserve">p to three </w:t>
      </w:r>
      <w:r>
        <w:rPr>
          <w:noProof/>
        </w:rPr>
        <w:t xml:space="preserve">narrative </w:t>
      </w:r>
      <w:r w:rsidRPr="004F4BC5">
        <w:rPr>
          <w:noProof/>
        </w:rPr>
        <w:t xml:space="preserve">reasons for refusing the applications were provided for </w:t>
      </w:r>
      <w:r>
        <w:rPr>
          <w:noProof/>
        </w:rPr>
        <w:t>each of the</w:t>
      </w:r>
      <w:r w:rsidRPr="004F4BC5">
        <w:rPr>
          <w:noProof/>
        </w:rPr>
        <w:t xml:space="preserve"> 25 cases </w:t>
      </w:r>
      <w:r>
        <w:t>(meaning that the total number of reasons given exceeds 25).</w:t>
      </w:r>
    </w:p>
    <w:p w:rsidR="00B051A6" w:rsidRDefault="00B051A6">
      <w:pPr>
        <w:spacing w:after="160" w:line="259" w:lineRule="auto"/>
        <w:rPr>
          <w:szCs w:val="24"/>
        </w:rPr>
      </w:pPr>
      <w:r>
        <w:br w:type="page"/>
      </w:r>
    </w:p>
    <w:p w:rsidR="00BC2067" w:rsidRPr="00B051A6" w:rsidRDefault="00BC2067" w:rsidP="00B051A6">
      <w:pPr>
        <w:pStyle w:val="Title-tablesgrey"/>
      </w:pPr>
      <w:bookmarkStart w:id="37" w:name="_Toc11795968"/>
      <w:r>
        <w:rPr>
          <w:noProof/>
        </w:rPr>
        <w:lastRenderedPageBreak/>
        <w:t>Figure 4.5</w:t>
      </w:r>
      <w:r>
        <w:rPr>
          <w:noProof/>
        </w:rPr>
        <w:tab/>
        <w:t>All reasons given for refused applications</w:t>
      </w:r>
      <w:bookmarkEnd w:id="37"/>
    </w:p>
    <w:p w:rsidR="00BC2067" w:rsidRDefault="00BC2067" w:rsidP="00BC2067">
      <w:pPr>
        <w:jc w:val="both"/>
        <w:rPr>
          <w:color w:val="000000" w:themeColor="text1"/>
          <w:szCs w:val="24"/>
        </w:rPr>
      </w:pPr>
      <w:r>
        <w:rPr>
          <w:noProof/>
          <w:lang w:eastAsia="en-GB"/>
        </w:rPr>
        <w:drawing>
          <wp:inline distT="0" distB="0" distL="0" distR="0" wp14:anchorId="61F36FA3" wp14:editId="530E9A94">
            <wp:extent cx="5029200" cy="2500113"/>
            <wp:effectExtent l="0" t="0" r="0" b="0"/>
            <wp:docPr id="73" name="Picture 73" descr="Figure 4.5 All reasons given for refused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044101" cy="2507520"/>
                    </a:xfrm>
                    <a:prstGeom prst="rect">
                      <a:avLst/>
                    </a:prstGeom>
                    <a:noFill/>
                    <a:ln>
                      <a:noFill/>
                    </a:ln>
                  </pic:spPr>
                </pic:pic>
              </a:graphicData>
            </a:graphic>
          </wp:inline>
        </w:drawing>
      </w:r>
    </w:p>
    <w:p w:rsidR="00BC2067" w:rsidRDefault="00BC2067" w:rsidP="00BC2067">
      <w:pPr>
        <w:jc w:val="both"/>
        <w:rPr>
          <w:noProof/>
          <w:color w:val="000000" w:themeColor="text1"/>
        </w:rPr>
      </w:pPr>
    </w:p>
    <w:p w:rsidR="00BC2067" w:rsidRDefault="00B051A6" w:rsidP="00B051A6">
      <w:pPr>
        <w:pStyle w:val="Tablenotes"/>
      </w:pPr>
      <w:r>
        <w:t xml:space="preserve">Notes: </w:t>
      </w:r>
      <w:r w:rsidR="00BC2067">
        <w:t>The categories above were devised by the Commission and therefore do not correspond with codes in the dataset.</w:t>
      </w:r>
    </w:p>
    <w:p w:rsidR="00BC2067" w:rsidRDefault="00BC2067" w:rsidP="00B051A6">
      <w:pPr>
        <w:pStyle w:val="Tablenotes"/>
        <w:rPr>
          <w:noProof/>
        </w:rPr>
      </w:pPr>
    </w:p>
    <w:p w:rsidR="00BC2067" w:rsidRDefault="00BC2067" w:rsidP="00B051A6">
      <w:pPr>
        <w:pStyle w:val="Tablenotes"/>
        <w:spacing w:after="420"/>
        <w:rPr>
          <w:noProof/>
        </w:rPr>
      </w:pPr>
      <w:r>
        <w:rPr>
          <w:noProof/>
        </w:rPr>
        <w:t>Base: All reasons given for refusing an application (43).</w:t>
      </w:r>
    </w:p>
    <w:p w:rsidR="00B051A6" w:rsidRDefault="00BC2067" w:rsidP="00B051A6">
      <w:pPr>
        <w:pStyle w:val="Parabeforeanother"/>
        <w:sectPr w:rsidR="00B051A6" w:rsidSect="00172390">
          <w:headerReference w:type="first" r:id="rId38"/>
          <w:pgSz w:w="11906" w:h="16838"/>
          <w:pgMar w:top="1440" w:right="1440" w:bottom="1440" w:left="1440" w:header="708" w:footer="708" w:gutter="0"/>
          <w:cols w:space="708"/>
          <w:titlePg/>
          <w:docGrid w:linePitch="360"/>
        </w:sectPr>
      </w:pPr>
      <w:r w:rsidRPr="004F4BC5">
        <w:t>Figure 4</w:t>
      </w:r>
      <w:r>
        <w:t>.5</w:t>
      </w:r>
      <w:r w:rsidRPr="004F4BC5">
        <w:t xml:space="preserve"> shows that </w:t>
      </w:r>
      <w:r>
        <w:t>cost–benefit reasons account for almost a third (14 out of 43) of the reasons given.</w:t>
      </w:r>
    </w:p>
    <w:p w:rsidR="00BC2067" w:rsidRPr="004F4BC5" w:rsidRDefault="00B051A6" w:rsidP="00B051A6">
      <w:pPr>
        <w:pStyle w:val="Title-chaptergrey"/>
      </w:pPr>
      <w:bookmarkStart w:id="38" w:name="_Toc11795969"/>
      <w:r>
        <w:lastRenderedPageBreak/>
        <w:t xml:space="preserve">5. </w:t>
      </w:r>
      <w:r w:rsidR="00BC2067" w:rsidRPr="00996F34">
        <w:t>C</w:t>
      </w:r>
      <w:r w:rsidR="00BC2067">
        <w:t xml:space="preserve">omparison between </w:t>
      </w:r>
      <w:r w:rsidR="00BC2067" w:rsidRPr="00996F34">
        <w:t>PFC D</w:t>
      </w:r>
      <w:r w:rsidR="00BC2067">
        <w:t xml:space="preserve">iscrimination and </w:t>
      </w:r>
      <w:r w:rsidR="00BC2067" w:rsidRPr="00996F34">
        <w:t>PFC O</w:t>
      </w:r>
      <w:r w:rsidR="00BC2067">
        <w:t xml:space="preserve">ther </w:t>
      </w:r>
      <w:r w:rsidR="00BC2067" w:rsidRPr="00996F34">
        <w:t>C</w:t>
      </w:r>
      <w:r w:rsidR="00BC2067">
        <w:t xml:space="preserve">ategory </w:t>
      </w:r>
      <w:r w:rsidR="00BC2067" w:rsidRPr="00996F34">
        <w:t>(D</w:t>
      </w:r>
      <w:r w:rsidR="00BC2067">
        <w:t>iscrimination</w:t>
      </w:r>
      <w:r w:rsidR="00BC2067" w:rsidRPr="004F4BC5">
        <w:t>) G</w:t>
      </w:r>
      <w:r w:rsidR="00BC2067">
        <w:t>rants</w:t>
      </w:r>
      <w:bookmarkEnd w:id="38"/>
    </w:p>
    <w:p w:rsidR="00BC2067" w:rsidRDefault="00BC2067" w:rsidP="003B5F9A">
      <w:pPr>
        <w:pStyle w:val="Parabeforeanother"/>
      </w:pPr>
      <w:r>
        <w:t xml:space="preserve">As noted earlier in this report, there have been many more PFC grants awarded in other categories of law where there is discrimination, that is, within PFC Other Category (Discrimination), than in the Discrimination category of law itself. It is not possible to state from the available data whether a higher proportion of applications have been successful in the Discrimination or Other Category (Discrimination) categories. </w:t>
      </w:r>
    </w:p>
    <w:p w:rsidR="003B5F9A" w:rsidRDefault="00BC2067" w:rsidP="003B5F9A">
      <w:pPr>
        <w:pStyle w:val="Parabeforeanother"/>
        <w:sectPr w:rsidR="003B5F9A" w:rsidSect="00172390">
          <w:headerReference w:type="first" r:id="rId39"/>
          <w:pgSz w:w="11906" w:h="16838"/>
          <w:pgMar w:top="1440" w:right="1440" w:bottom="1440" w:left="1440" w:header="708" w:footer="708" w:gutter="0"/>
          <w:cols w:space="708"/>
          <w:titlePg/>
          <w:docGrid w:linePitch="360"/>
        </w:sectPr>
      </w:pPr>
      <w:r>
        <w:t>It is clear, however, that in both PFC Discrimination and PFC Other Category (Discrimination) cases for which the data was provided the majority of clients awarded grants were disabled. In both PFC Discrimination and PFC Other Category (Discrimination) cases, the majority of applications were provided with full representation rather than investigative representation; in fact, for PFC Discrimination, all received full representation. Finally, where the outcome is known, it appears that there was more likely to be a settlement with significant benefits for the client in PFC Discrimination than in PFC Other Category (Discrimination) cases.</w:t>
      </w:r>
    </w:p>
    <w:p w:rsidR="00BC2067" w:rsidRPr="00286E6F" w:rsidRDefault="003B5F9A" w:rsidP="003B5F9A">
      <w:pPr>
        <w:pStyle w:val="Title-chaptergrey"/>
      </w:pPr>
      <w:bookmarkStart w:id="39" w:name="_Toc11795970"/>
      <w:r>
        <w:lastRenderedPageBreak/>
        <w:t xml:space="preserve">6. </w:t>
      </w:r>
      <w:r w:rsidR="00BC2067" w:rsidRPr="00286E6F">
        <w:t>C</w:t>
      </w:r>
      <w:r w:rsidR="00BC2067">
        <w:t>onclusions</w:t>
      </w:r>
      <w:bookmarkEnd w:id="39"/>
    </w:p>
    <w:p w:rsidR="00BC2067" w:rsidRDefault="00BC2067" w:rsidP="00BC2067">
      <w:pPr>
        <w:pStyle w:val="ListParagraph"/>
        <w:ind w:left="0"/>
        <w:rPr>
          <w:color w:val="000000" w:themeColor="text1"/>
        </w:rPr>
      </w:pPr>
    </w:p>
    <w:p w:rsidR="00BC2067" w:rsidRPr="003B5F9A" w:rsidRDefault="00BC2067" w:rsidP="003B5F9A">
      <w:pPr>
        <w:pStyle w:val="Parabeforebulletss"/>
      </w:pPr>
      <w:r>
        <w:t>This report analyses granted and refused applications for Public Funding Certificates (PFCs). A PFC is normally applied for as a second stage of funding where funding is required to take a case to court. The key findings are outlined below.</w:t>
      </w:r>
    </w:p>
    <w:p w:rsidR="00BC2067" w:rsidRPr="00BE1D55" w:rsidRDefault="00BC2067" w:rsidP="003B5F9A">
      <w:pPr>
        <w:pStyle w:val="Bullet-followedbyothers"/>
      </w:pPr>
      <w:r>
        <w:t xml:space="preserve">The number of PFC grants awarded between </w:t>
      </w:r>
      <w:r w:rsidRPr="00977857">
        <w:t>2013</w:t>
      </w:r>
      <w:r>
        <w:t>/</w:t>
      </w:r>
      <w:r w:rsidRPr="00977857">
        <w:t>14 and 2017</w:t>
      </w:r>
      <w:r>
        <w:t>/</w:t>
      </w:r>
      <w:r w:rsidRPr="00977857">
        <w:t>18</w:t>
      </w:r>
      <w:r>
        <w:t xml:space="preserve"> was much higher for PFC Other Category (Discrimination) than for PFC Discrimination. In total, 142 grants were awarded in other categories of law where there is an element of discrimination, compared with only 43 grants in the Discrimination category of law.</w:t>
      </w:r>
    </w:p>
    <w:p w:rsidR="00BC2067" w:rsidRDefault="00BC2067" w:rsidP="003B5F9A">
      <w:pPr>
        <w:pStyle w:val="Bullet-followedbyothers"/>
      </w:pPr>
      <w:r>
        <w:t>Ministry of Justice statistics show that only 45% of applications in the Discrimination category resulted in grants, which represents less than half the proportion of applications resulting in grants across all categories (91%).</w:t>
      </w:r>
    </w:p>
    <w:p w:rsidR="00BC2067" w:rsidRDefault="00BC2067" w:rsidP="003B5F9A">
      <w:pPr>
        <w:pStyle w:val="Bullet-followedbyothers"/>
      </w:pPr>
      <w:r>
        <w:t>In most cases where a grant was awarded the client was considered disabled.</w:t>
      </w:r>
    </w:p>
    <w:p w:rsidR="00BC2067" w:rsidRDefault="00BC2067" w:rsidP="003B5F9A">
      <w:pPr>
        <w:pStyle w:val="Bullet-followedbyothers"/>
      </w:pPr>
      <w:r>
        <w:t>In nearly half of PFC Discrimination cases where the outcome was known, the client received a significant benefit. But the proportion of clients receiving a significant benefit in PFC Other Category (Discrimination) cases was much lower; only 10 out of 75 grants resulted in a significant benefit.</w:t>
      </w:r>
    </w:p>
    <w:p w:rsidR="00BC2067" w:rsidRDefault="00BC2067" w:rsidP="003B5F9A">
      <w:pPr>
        <w:pStyle w:val="Bullet-followedbyothers"/>
      </w:pPr>
      <w:r>
        <w:t xml:space="preserve">When an application was refused, the application had been made in the majority of cases by a Civil Legal Advice (CLA) discrimination specialist. </w:t>
      </w:r>
    </w:p>
    <w:p w:rsidR="003B5F9A" w:rsidRDefault="00BC2067" w:rsidP="003B5F9A">
      <w:pPr>
        <w:pStyle w:val="Bullet-lastingroup"/>
        <w:sectPr w:rsidR="003B5F9A" w:rsidSect="00172390">
          <w:headerReference w:type="first" r:id="rId40"/>
          <w:pgSz w:w="11906" w:h="16838"/>
          <w:pgMar w:top="1440" w:right="1440" w:bottom="1440" w:left="1440" w:header="708" w:footer="708" w:gutter="0"/>
          <w:cols w:space="708"/>
          <w:titlePg/>
          <w:docGrid w:linePitch="360"/>
        </w:sectPr>
      </w:pPr>
      <w:r>
        <w:t>An analysis of a</w:t>
      </w:r>
      <w:r w:rsidRPr="000A09F1">
        <w:t xml:space="preserve">ll the reasons </w:t>
      </w:r>
      <w:r>
        <w:t>given for refusing a grant shows that</w:t>
      </w:r>
      <w:r w:rsidRPr="000A09F1">
        <w:t xml:space="preserve"> cost</w:t>
      </w:r>
      <w:r>
        <w:t>–</w:t>
      </w:r>
      <w:r w:rsidRPr="000A09F1">
        <w:t>benefit reasons account for a nearly a third (14 out of 43)</w:t>
      </w:r>
      <w:r>
        <w:t xml:space="preserve"> </w:t>
      </w:r>
      <w:r w:rsidRPr="000A09F1">
        <w:t>of the reasons given.</w:t>
      </w:r>
    </w:p>
    <w:p w:rsidR="00BC2067" w:rsidRDefault="00BC2067" w:rsidP="003B5F9A">
      <w:pPr>
        <w:pStyle w:val="Title-chaptergrey"/>
      </w:pPr>
      <w:bookmarkStart w:id="40" w:name="_Toc11795971"/>
      <w:r>
        <w:lastRenderedPageBreak/>
        <w:t>Appendix A: Grouping criteria</w:t>
      </w:r>
      <w:bookmarkEnd w:id="40"/>
    </w:p>
    <w:p w:rsidR="00BC2067" w:rsidRPr="001B5993" w:rsidRDefault="00BC2067" w:rsidP="00BC2067">
      <w:pPr>
        <w:jc w:val="both"/>
        <w:rPr>
          <w:color w:val="000000" w:themeColor="text1"/>
          <w:szCs w:val="24"/>
        </w:rPr>
      </w:pPr>
    </w:p>
    <w:p w:rsidR="00BC2067" w:rsidRPr="001B5993" w:rsidRDefault="00BC2067" w:rsidP="003B5F9A">
      <w:pPr>
        <w:pStyle w:val="Parabeforeanother"/>
      </w:pPr>
      <w:r w:rsidRPr="001B5993">
        <w:t xml:space="preserve">The following detail </w:t>
      </w:r>
      <w:r>
        <w:t xml:space="preserve">is the </w:t>
      </w:r>
      <w:r w:rsidRPr="001B5993">
        <w:t>grouping specification that ha</w:t>
      </w:r>
      <w:r>
        <w:t>s</w:t>
      </w:r>
      <w:r w:rsidRPr="001B5993">
        <w:t xml:space="preserve"> been used for PFC </w:t>
      </w:r>
      <w:r>
        <w:t>D</w:t>
      </w:r>
      <w:r w:rsidRPr="001B5993">
        <w:t xml:space="preserve">iscrimination and </w:t>
      </w:r>
      <w:r>
        <w:t>PFC Other Category (Discrimination)</w:t>
      </w:r>
      <w:r w:rsidRPr="001B5993">
        <w:t>.</w:t>
      </w:r>
    </w:p>
    <w:p w:rsidR="00BC2067" w:rsidRPr="001B5993" w:rsidRDefault="00BC2067" w:rsidP="003B5F9A">
      <w:pPr>
        <w:pStyle w:val="Parabeforeanother"/>
        <w:spacing w:after="0"/>
      </w:pPr>
      <w:r w:rsidRPr="001B5993">
        <w:t xml:space="preserve">PFC </w:t>
      </w:r>
      <w:r>
        <w:t>D</w:t>
      </w:r>
      <w:r w:rsidRPr="001B5993">
        <w:t>iscrimination | DEFINITION</w:t>
      </w:r>
    </w:p>
    <w:p w:rsidR="00BC2067" w:rsidRPr="001B5993" w:rsidRDefault="00BC2067" w:rsidP="003B5F9A">
      <w:pPr>
        <w:pStyle w:val="Parabeforeanother"/>
        <w:spacing w:after="0"/>
      </w:pPr>
      <w:r w:rsidRPr="001B5993">
        <w:t>Applications ha</w:t>
      </w:r>
      <w:r>
        <w:t>ve</w:t>
      </w:r>
      <w:r w:rsidRPr="001B5993">
        <w:t xml:space="preserve"> been classed as PFC </w:t>
      </w:r>
      <w:r>
        <w:t>D</w:t>
      </w:r>
      <w:r w:rsidRPr="001B5993">
        <w:t>iscrimination based on following criteria:</w:t>
      </w:r>
    </w:p>
    <w:p w:rsidR="00BC2067" w:rsidRPr="001B5993" w:rsidRDefault="00BC2067" w:rsidP="003B5F9A">
      <w:pPr>
        <w:pStyle w:val="Parabeforeanother"/>
        <w:spacing w:after="0"/>
      </w:pPr>
      <w:r w:rsidRPr="001B5993">
        <w:t xml:space="preserve">CIS records: [CLA Specialist?] = ‘Y’ AND [CAT OF LAW] = ‘OTH’ </w:t>
      </w:r>
    </w:p>
    <w:p w:rsidR="00BC2067" w:rsidRPr="001B5993" w:rsidRDefault="00BC2067" w:rsidP="003B5F9A">
      <w:pPr>
        <w:pStyle w:val="Parabeforeanother"/>
      </w:pPr>
      <w:r w:rsidRPr="001B5993">
        <w:t>CCMS records: [CLA SPECIALIST] = ‘Y’ AND [CATEGORY] = ‘DISC</w:t>
      </w:r>
    </w:p>
    <w:p w:rsidR="00BC2067" w:rsidRPr="001B5993" w:rsidRDefault="00BC2067" w:rsidP="003B5F9A">
      <w:pPr>
        <w:pStyle w:val="Parabeforeanother"/>
        <w:spacing w:after="0"/>
      </w:pPr>
      <w:r>
        <w:t>PFC Other Category (Discrimination)</w:t>
      </w:r>
      <w:r w:rsidRPr="001B5993">
        <w:t xml:space="preserve"> | DEFINITION</w:t>
      </w:r>
    </w:p>
    <w:p w:rsidR="00BC2067" w:rsidRPr="001B5993" w:rsidRDefault="00BC2067" w:rsidP="003B5F9A">
      <w:pPr>
        <w:pStyle w:val="Parabeforeanother"/>
        <w:spacing w:after="0"/>
      </w:pPr>
      <w:r w:rsidRPr="001B5993">
        <w:t>Applications that do not meet below specification ha</w:t>
      </w:r>
      <w:r>
        <w:t>ve</w:t>
      </w:r>
      <w:r w:rsidRPr="001B5993">
        <w:t xml:space="preserve"> been classed as </w:t>
      </w:r>
      <w:r>
        <w:t>PFC Other Category (Discrimination)</w:t>
      </w:r>
      <w:r w:rsidRPr="001B5993">
        <w:t>:</w:t>
      </w:r>
    </w:p>
    <w:p w:rsidR="00BC2067" w:rsidRPr="001B5993" w:rsidRDefault="00BC2067" w:rsidP="003B5F9A">
      <w:pPr>
        <w:pStyle w:val="Parabeforeanother"/>
        <w:spacing w:after="0"/>
      </w:pPr>
      <w:r w:rsidRPr="001B5993">
        <w:t xml:space="preserve">CIS records: [CLA Specialist?] = ‘Y’ AND [CAT OF LAW] = ‘OTH’ </w:t>
      </w:r>
    </w:p>
    <w:p w:rsidR="00BC2067" w:rsidRPr="001B5993" w:rsidRDefault="00BC2067" w:rsidP="003B5F9A">
      <w:pPr>
        <w:pStyle w:val="Parabeforeanother"/>
      </w:pPr>
      <w:r w:rsidRPr="001B5993">
        <w:t>CCMS records: [CLA SPECIALIST] = ‘Y’ AND [CATEGORY] = ‘DISC</w:t>
      </w:r>
    </w:p>
    <w:p w:rsidR="00BC2067" w:rsidRPr="003B5F9A" w:rsidRDefault="00BC2067" w:rsidP="003B5F9A">
      <w:pPr>
        <w:pStyle w:val="Parabeforetable"/>
      </w:pPr>
      <w:r w:rsidRPr="001B5993">
        <w:t>Complete allocation results are shown below.</w:t>
      </w:r>
    </w:p>
    <w:p w:rsidR="00BC2067" w:rsidRDefault="00BC2067" w:rsidP="003B5F9A">
      <w:pPr>
        <w:pStyle w:val="Title-tablesgrey"/>
      </w:pPr>
      <w:bookmarkStart w:id="41" w:name="_Toc11795972"/>
      <w:r>
        <w:t>Appendix Table A.1</w:t>
      </w:r>
      <w:r>
        <w:tab/>
        <w:t>PFC grouping</w:t>
      </w:r>
      <w:r>
        <w:rPr>
          <w:noProof/>
        </w:rPr>
        <w:drawing>
          <wp:inline distT="0" distB="0" distL="0" distR="0" wp14:anchorId="724CFBDA" wp14:editId="0E66BD1B">
            <wp:extent cx="4838700" cy="2876550"/>
            <wp:effectExtent l="0" t="0" r="0" b="0"/>
            <wp:docPr id="75" name="Picture 75" descr="Appendix Table A.1 PFC grou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838700" cy="2876550"/>
                    </a:xfrm>
                    <a:prstGeom prst="rect">
                      <a:avLst/>
                    </a:prstGeom>
                  </pic:spPr>
                </pic:pic>
              </a:graphicData>
            </a:graphic>
          </wp:inline>
        </w:drawing>
      </w:r>
      <w:bookmarkEnd w:id="41"/>
    </w:p>
    <w:p w:rsidR="003B5F9A" w:rsidRDefault="003B5F9A" w:rsidP="00BC2067">
      <w:pPr>
        <w:pStyle w:val="L1Headers"/>
        <w:sectPr w:rsidR="003B5F9A" w:rsidSect="00172390">
          <w:headerReference w:type="first" r:id="rId42"/>
          <w:pgSz w:w="11906" w:h="16838"/>
          <w:pgMar w:top="1440" w:right="1440" w:bottom="1440" w:left="1440" w:header="708" w:footer="708" w:gutter="0"/>
          <w:cols w:space="708"/>
          <w:titlePg/>
          <w:docGrid w:linePitch="360"/>
        </w:sectPr>
      </w:pPr>
    </w:p>
    <w:p w:rsidR="00BC2067" w:rsidRPr="009D0BF2" w:rsidRDefault="003B5F9A" w:rsidP="003B5F9A">
      <w:pPr>
        <w:pStyle w:val="Title-chaptergrey"/>
      </w:pPr>
      <w:bookmarkStart w:id="42" w:name="_Toc11795973"/>
      <w:r>
        <w:lastRenderedPageBreak/>
        <w:t>Contac</w:t>
      </w:r>
      <w:r w:rsidR="00BC2067" w:rsidRPr="009D0BF2">
        <w:t>ts</w:t>
      </w:r>
      <w:bookmarkEnd w:id="42"/>
    </w:p>
    <w:p w:rsidR="00BC2067" w:rsidRPr="009D0BF2" w:rsidRDefault="00BC2067" w:rsidP="00BC2067">
      <w:pPr>
        <w:pStyle w:val="Parabase"/>
        <w:rPr>
          <w:kern w:val="28"/>
        </w:rPr>
      </w:pPr>
      <w:r w:rsidRPr="009D0BF2">
        <w:rPr>
          <w:kern w:val="28"/>
        </w:rPr>
        <w:t xml:space="preserve">This publication and related equality and human rights resources are available from </w:t>
      </w:r>
      <w:hyperlink r:id="rId43" w:history="1">
        <w:r w:rsidRPr="008116DB">
          <w:rPr>
            <w:rStyle w:val="Hyperlink"/>
            <w:kern w:val="28"/>
          </w:rPr>
          <w:t>our website</w:t>
        </w:r>
      </w:hyperlink>
      <w:r>
        <w:rPr>
          <w:kern w:val="28"/>
        </w:rPr>
        <w:t xml:space="preserve">. </w:t>
      </w:r>
    </w:p>
    <w:p w:rsidR="00BC2067" w:rsidRPr="009D0BF2" w:rsidRDefault="00BC2067" w:rsidP="00BC2067">
      <w:pPr>
        <w:pStyle w:val="Parass"/>
        <w:rPr>
          <w:kern w:val="28"/>
        </w:rPr>
      </w:pPr>
      <w:r w:rsidRPr="009D0BF2">
        <w:rPr>
          <w:kern w:val="28"/>
        </w:rPr>
        <w:t xml:space="preserve">Questions and comments regarding this publication may be addressed to: </w:t>
      </w:r>
      <w:hyperlink r:id="rId44" w:history="1">
        <w:r w:rsidRPr="00671F8C">
          <w:rPr>
            <w:rStyle w:val="Hyperlink"/>
            <w:kern w:val="28"/>
          </w:rPr>
          <w:t>correspondence@equalityhumanrights.com</w:t>
        </w:r>
      </w:hyperlink>
      <w:r w:rsidRPr="009D0BF2">
        <w:rPr>
          <w:kern w:val="28"/>
        </w:rPr>
        <w:t xml:space="preserve">. </w:t>
      </w:r>
      <w:r>
        <w:rPr>
          <w:kern w:val="28"/>
        </w:rPr>
        <w:t>We welcome</w:t>
      </w:r>
      <w:r w:rsidRPr="009D0BF2">
        <w:rPr>
          <w:kern w:val="28"/>
        </w:rPr>
        <w:t xml:space="preserve"> your feedback</w:t>
      </w:r>
      <w:r>
        <w:rPr>
          <w:kern w:val="28"/>
        </w:rPr>
        <w:t>.</w:t>
      </w:r>
    </w:p>
    <w:p w:rsidR="00BC2067" w:rsidRDefault="00BC2067" w:rsidP="00BC2067">
      <w:pPr>
        <w:pStyle w:val="Parabase"/>
        <w:rPr>
          <w:rStyle w:val="Hyperlink"/>
          <w:kern w:val="28"/>
        </w:rPr>
      </w:pPr>
      <w:r w:rsidRPr="00D74E35">
        <w:t xml:space="preserve">For information on accessing </w:t>
      </w:r>
      <w:r>
        <w:t>one of our</w:t>
      </w:r>
      <w:r w:rsidRPr="00D74E35">
        <w:t xml:space="preserve"> publication</w:t>
      </w:r>
      <w:r>
        <w:t>s</w:t>
      </w:r>
      <w:r w:rsidRPr="00D74E35">
        <w:t xml:space="preserve"> in an alternative format, please contact: </w:t>
      </w:r>
      <w:hyperlink r:id="rId45" w:history="1">
        <w:r w:rsidRPr="00D74E35">
          <w:rPr>
            <w:rStyle w:val="Hyperlink"/>
            <w:kern w:val="28"/>
          </w:rPr>
          <w:t>correspondence@equalityhumanrights.com</w:t>
        </w:r>
      </w:hyperlink>
      <w:r w:rsidRPr="00D74E35">
        <w:rPr>
          <w:rStyle w:val="Hyperlink"/>
          <w:kern w:val="28"/>
        </w:rPr>
        <w:t>.</w:t>
      </w:r>
    </w:p>
    <w:p w:rsidR="00BC2067" w:rsidRPr="008116DB" w:rsidRDefault="00BC2067" w:rsidP="00BC2067">
      <w:pPr>
        <w:pStyle w:val="Parasection"/>
        <w:rPr>
          <w:rStyle w:val="Hyperlink"/>
          <w:kern w:val="28"/>
        </w:rPr>
      </w:pPr>
      <w:r>
        <w:rPr>
          <w:rStyle w:val="Hyperlink"/>
          <w:kern w:val="28"/>
        </w:rPr>
        <w:t xml:space="preserve">Keep up to date with our latest news, events and publications by </w:t>
      </w:r>
      <w:hyperlink r:id="rId46" w:history="1">
        <w:r w:rsidRPr="008116DB">
          <w:rPr>
            <w:rStyle w:val="Hyperlink"/>
            <w:kern w:val="28"/>
          </w:rPr>
          <w:t>signing up to our e-newsletter</w:t>
        </w:r>
      </w:hyperlink>
      <w:r>
        <w:rPr>
          <w:rStyle w:val="Hyperlink"/>
          <w:kern w:val="28"/>
        </w:rPr>
        <w:t xml:space="preserve">. </w:t>
      </w:r>
    </w:p>
    <w:p w:rsidR="00BC2067" w:rsidRPr="00E460A5" w:rsidRDefault="00BC2067" w:rsidP="00BC2067">
      <w:pPr>
        <w:pStyle w:val="Parass"/>
        <w:spacing w:after="120"/>
        <w:rPr>
          <w:b/>
          <w:kern w:val="28"/>
        </w:rPr>
      </w:pPr>
      <w:r w:rsidRPr="00E460A5">
        <w:rPr>
          <w:b/>
          <w:kern w:val="28"/>
        </w:rPr>
        <w:t>EASS</w:t>
      </w:r>
    </w:p>
    <w:p w:rsidR="00BC2067" w:rsidRPr="009D0BF2" w:rsidRDefault="00BC2067" w:rsidP="00BC2067">
      <w:pPr>
        <w:pStyle w:val="Parass"/>
        <w:rPr>
          <w:kern w:val="28"/>
        </w:rPr>
      </w:pPr>
      <w:r w:rsidRPr="009D0BF2">
        <w:rPr>
          <w:kern w:val="28"/>
        </w:rPr>
        <w:t xml:space="preserve">For advice, information or guidance on equality, discrimination or human rights issues, please contact the </w:t>
      </w:r>
      <w:hyperlink r:id="rId47" w:history="1">
        <w:r w:rsidRPr="008116DB">
          <w:rPr>
            <w:rStyle w:val="Hyperlink"/>
            <w:kern w:val="28"/>
          </w:rPr>
          <w:t>Equality Advisory and Support Service</w:t>
        </w:r>
      </w:hyperlink>
      <w:r w:rsidRPr="009D0BF2">
        <w:rPr>
          <w:kern w:val="28"/>
        </w:rPr>
        <w:t>, a free and independent service.</w:t>
      </w:r>
    </w:p>
    <w:p w:rsidR="00BC2067" w:rsidRPr="009D0BF2" w:rsidRDefault="00BC2067" w:rsidP="00BC2067">
      <w:pPr>
        <w:pStyle w:val="Parabase"/>
        <w:rPr>
          <w:color w:val="000000"/>
          <w:kern w:val="28"/>
        </w:rPr>
      </w:pPr>
      <w:r w:rsidRPr="009D0BF2">
        <w:rPr>
          <w:color w:val="000000"/>
          <w:kern w:val="28"/>
        </w:rPr>
        <w:t xml:space="preserve">Telephone </w:t>
      </w:r>
      <w:r w:rsidRPr="009D0BF2">
        <w:rPr>
          <w:color w:val="000000"/>
          <w:kern w:val="28"/>
        </w:rPr>
        <w:tab/>
        <w:t>0808 800 0082</w:t>
      </w:r>
    </w:p>
    <w:p w:rsidR="00BC2067" w:rsidRPr="009D0BF2" w:rsidRDefault="00BC2067" w:rsidP="00BC2067">
      <w:pPr>
        <w:pStyle w:val="Parabase"/>
        <w:rPr>
          <w:color w:val="000000"/>
          <w:kern w:val="28"/>
        </w:rPr>
      </w:pPr>
      <w:proofErr w:type="spellStart"/>
      <w:r w:rsidRPr="009D0BF2">
        <w:rPr>
          <w:color w:val="000000"/>
          <w:kern w:val="28"/>
        </w:rPr>
        <w:t>Textphone</w:t>
      </w:r>
      <w:proofErr w:type="spellEnd"/>
      <w:r w:rsidRPr="009D0BF2">
        <w:rPr>
          <w:color w:val="000000"/>
          <w:kern w:val="28"/>
        </w:rPr>
        <w:t xml:space="preserve"> </w:t>
      </w:r>
      <w:r w:rsidRPr="009D0BF2">
        <w:rPr>
          <w:color w:val="000000"/>
          <w:kern w:val="28"/>
        </w:rPr>
        <w:tab/>
        <w:t>0808 800 0084</w:t>
      </w:r>
    </w:p>
    <w:p w:rsidR="00BC2067" w:rsidRPr="009D0BF2" w:rsidRDefault="00BC2067" w:rsidP="00BC2067">
      <w:pPr>
        <w:pStyle w:val="Parabase"/>
        <w:spacing w:after="0"/>
        <w:rPr>
          <w:color w:val="000000"/>
          <w:kern w:val="28"/>
        </w:rPr>
      </w:pPr>
      <w:r>
        <w:rPr>
          <w:color w:val="000000"/>
          <w:kern w:val="28"/>
        </w:rPr>
        <w:t xml:space="preserve">Hours </w:t>
      </w:r>
      <w:r>
        <w:rPr>
          <w:color w:val="000000"/>
          <w:kern w:val="28"/>
        </w:rPr>
        <w:tab/>
      </w:r>
      <w:r>
        <w:rPr>
          <w:color w:val="000000"/>
          <w:kern w:val="28"/>
        </w:rPr>
        <w:tab/>
        <w:t>09:00 to 19</w:t>
      </w:r>
      <w:r w:rsidRPr="009D0BF2">
        <w:rPr>
          <w:color w:val="000000"/>
          <w:kern w:val="28"/>
        </w:rPr>
        <w:t>:00 (Monday to Friday)</w:t>
      </w:r>
    </w:p>
    <w:p w:rsidR="00BC2067" w:rsidRPr="009D0BF2" w:rsidRDefault="00BC2067" w:rsidP="00BC2067">
      <w:pPr>
        <w:pStyle w:val="Parabase"/>
        <w:rPr>
          <w:color w:val="000000"/>
          <w:kern w:val="28"/>
        </w:rPr>
      </w:pPr>
      <w:r w:rsidRPr="009D0BF2">
        <w:rPr>
          <w:color w:val="000000"/>
          <w:kern w:val="28"/>
        </w:rPr>
        <w:tab/>
      </w:r>
      <w:r w:rsidRPr="009D0BF2">
        <w:rPr>
          <w:color w:val="000000"/>
          <w:kern w:val="28"/>
        </w:rPr>
        <w:tab/>
        <w:t>10:00 to 14:00 (Saturday)</w:t>
      </w:r>
    </w:p>
    <w:p w:rsidR="00BC2067" w:rsidRPr="009D0BF2" w:rsidRDefault="00BC2067" w:rsidP="00BC2067">
      <w:pPr>
        <w:pStyle w:val="Parabase"/>
        <w:spacing w:after="240"/>
        <w:rPr>
          <w:color w:val="000000"/>
          <w:kern w:val="28"/>
        </w:rPr>
      </w:pPr>
      <w:r w:rsidRPr="009D0BF2">
        <w:rPr>
          <w:color w:val="000000"/>
          <w:kern w:val="28"/>
        </w:rPr>
        <w:t xml:space="preserve">Post </w:t>
      </w:r>
      <w:r w:rsidRPr="009D0BF2">
        <w:rPr>
          <w:color w:val="000000"/>
          <w:kern w:val="28"/>
        </w:rPr>
        <w:tab/>
      </w:r>
      <w:r w:rsidRPr="009D0BF2">
        <w:rPr>
          <w:color w:val="000000"/>
          <w:kern w:val="28"/>
        </w:rPr>
        <w:tab/>
        <w:t xml:space="preserve">FREEPOST </w:t>
      </w:r>
      <w:r>
        <w:rPr>
          <w:color w:val="000000"/>
          <w:kern w:val="28"/>
        </w:rPr>
        <w:t xml:space="preserve">EASS HELPLINE </w:t>
      </w:r>
      <w:r w:rsidRPr="009D0BF2">
        <w:rPr>
          <w:color w:val="000000"/>
          <w:kern w:val="28"/>
        </w:rPr>
        <w:t>FPN</w:t>
      </w:r>
      <w:r>
        <w:rPr>
          <w:color w:val="000000"/>
          <w:kern w:val="28"/>
        </w:rPr>
        <w:t>6521</w:t>
      </w:r>
    </w:p>
    <w:p w:rsidR="00BC2067" w:rsidRDefault="00BC2067" w:rsidP="00BC2067">
      <w:pPr>
        <w:pStyle w:val="Parabase"/>
      </w:pPr>
    </w:p>
    <w:p w:rsidR="00BC2067" w:rsidRPr="00A24FBD" w:rsidRDefault="00BC2067" w:rsidP="00BC2067">
      <w:pPr>
        <w:pStyle w:val="Parabase"/>
      </w:pPr>
      <w:r>
        <w:t>© 2019</w:t>
      </w:r>
      <w:r w:rsidRPr="00A24FBD">
        <w:t xml:space="preserve"> Equality and Human Rights Commission</w:t>
      </w:r>
    </w:p>
    <w:p w:rsidR="00BC2067" w:rsidRPr="00A24FBD" w:rsidRDefault="00BC2067" w:rsidP="00BC2067">
      <w:pPr>
        <w:pStyle w:val="Parabase"/>
      </w:pPr>
      <w:r w:rsidRPr="00A24FBD">
        <w:t xml:space="preserve">Published </w:t>
      </w:r>
      <w:r>
        <w:t>June 2019</w:t>
      </w:r>
    </w:p>
    <w:p w:rsidR="00824DA9" w:rsidRPr="009F5011" w:rsidRDefault="00BC2067" w:rsidP="00BC2067">
      <w:pPr>
        <w:pStyle w:val="Parabase"/>
      </w:pPr>
      <w:r w:rsidRPr="00A24FBD">
        <w:t>ISBN: 978-1-84206-802-1</w:t>
      </w:r>
      <w:bookmarkEnd w:id="9"/>
    </w:p>
    <w:sectPr w:rsidR="00824DA9" w:rsidRPr="009F5011" w:rsidSect="00824DA9">
      <w:headerReference w:type="default" r:id="rId48"/>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52C" w:rsidRDefault="007D052C">
      <w:pPr>
        <w:spacing w:line="240" w:lineRule="auto"/>
      </w:pPr>
      <w:r>
        <w:separator/>
      </w:r>
    </w:p>
  </w:endnote>
  <w:endnote w:type="continuationSeparator" w:id="0">
    <w:p w:rsidR="007D052C" w:rsidRDefault="007D05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52C" w:rsidRDefault="007D052C" w:rsidP="00824DA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052C" w:rsidRDefault="007D0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67" w:rsidRDefault="00BC2067" w:rsidP="00BC2067">
    <w:pPr>
      <w:pStyle w:val="Footer"/>
      <w:tabs>
        <w:tab w:val="clear" w:pos="9026"/>
        <w:tab w:val="right" w:pos="9498"/>
      </w:tabs>
      <w:spacing w:line="240" w:lineRule="auto"/>
      <w:ind w:left="-567"/>
      <w:rPr>
        <w:rFonts w:cs="Arial"/>
        <w:sz w:val="16"/>
        <w:szCs w:val="16"/>
      </w:rPr>
    </w:pPr>
    <w:r>
      <w:rPr>
        <w:rFonts w:cs="Arial"/>
        <w:sz w:val="16"/>
        <w:szCs w:val="16"/>
      </w:rPr>
      <w:t>Equality and Human Rights Commission</w:t>
    </w:r>
  </w:p>
  <w:p w:rsidR="007D052C" w:rsidRPr="006615C4" w:rsidRDefault="00BC2067" w:rsidP="00BC2067">
    <w:pPr>
      <w:pStyle w:val="Footer"/>
      <w:tabs>
        <w:tab w:val="clear" w:pos="9026"/>
        <w:tab w:val="right" w:pos="9498"/>
      </w:tabs>
      <w:spacing w:line="240" w:lineRule="auto"/>
      <w:ind w:left="-567"/>
      <w:rPr>
        <w:rFonts w:cs="Arial"/>
        <w:sz w:val="16"/>
        <w:szCs w:val="16"/>
      </w:rPr>
    </w:pPr>
    <w:r>
      <w:rPr>
        <w:rFonts w:cs="Arial"/>
        <w:sz w:val="16"/>
        <w:szCs w:val="16"/>
      </w:rPr>
      <w:t>Published: June 2019</w:t>
    </w:r>
    <w:r>
      <w:rPr>
        <w:rFonts w:cs="Arial"/>
        <w:sz w:val="16"/>
        <w:szCs w:val="16"/>
      </w:rPr>
      <w:tab/>
    </w:r>
    <w:sdt>
      <w:sdtPr>
        <w:id w:val="20369130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1572">
          <w:rPr>
            <w:noProof/>
          </w:rPr>
          <w:t>16</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67" w:rsidRPr="00BC2067" w:rsidRDefault="00BC2067" w:rsidP="00BC2067">
    <w:pPr>
      <w:pStyle w:val="Footer"/>
      <w:tabs>
        <w:tab w:val="clear" w:pos="9026"/>
        <w:tab w:val="right" w:pos="9498"/>
      </w:tabs>
      <w:spacing w:line="240" w:lineRule="auto"/>
      <w:ind w:left="-567"/>
      <w:rPr>
        <w:rFonts w:cs="Arial"/>
        <w:sz w:val="16"/>
        <w:szCs w:val="16"/>
      </w:rPr>
    </w:pPr>
    <w:sdt>
      <w:sdtPr>
        <w:id w:val="-59795286"/>
        <w:docPartObj>
          <w:docPartGallery w:val="Page Numbers (Bottom of Page)"/>
          <w:docPartUnique/>
        </w:docPartObj>
      </w:sdtPr>
      <w:sdtEndPr>
        <w:rPr>
          <w:noProof/>
        </w:rPr>
      </w:sdtEndPr>
      <w:sdtContent/>
    </w:sdt>
  </w:p>
  <w:p w:rsidR="00BC2067" w:rsidRPr="00BC2067" w:rsidRDefault="00BC2067" w:rsidP="00BC2067">
    <w:pPr>
      <w:pStyle w:val="Footer"/>
      <w:tabs>
        <w:tab w:val="clear" w:pos="9026"/>
        <w:tab w:val="right" w:pos="9498"/>
      </w:tabs>
      <w:spacing w:line="240" w:lineRule="auto"/>
      <w:ind w:left="-567"/>
      <w:rPr>
        <w:rFonts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67" w:rsidRDefault="00BC2067" w:rsidP="00BC2067">
    <w:pPr>
      <w:pStyle w:val="Footer"/>
      <w:tabs>
        <w:tab w:val="clear" w:pos="9026"/>
        <w:tab w:val="right" w:pos="9498"/>
      </w:tabs>
      <w:spacing w:line="240" w:lineRule="auto"/>
      <w:ind w:left="-567"/>
      <w:rPr>
        <w:rFonts w:cs="Arial"/>
        <w:sz w:val="16"/>
        <w:szCs w:val="16"/>
      </w:rPr>
    </w:pPr>
    <w:r>
      <w:rPr>
        <w:rFonts w:cs="Arial"/>
        <w:sz w:val="16"/>
        <w:szCs w:val="16"/>
      </w:rPr>
      <w:t>Equality and Human Rights Commission</w:t>
    </w:r>
  </w:p>
  <w:p w:rsidR="00BC2067" w:rsidRPr="00BC2067" w:rsidRDefault="00BC2067" w:rsidP="00BC2067">
    <w:pPr>
      <w:pStyle w:val="Footer"/>
      <w:tabs>
        <w:tab w:val="clear" w:pos="9026"/>
        <w:tab w:val="right" w:pos="9498"/>
      </w:tabs>
      <w:spacing w:line="240" w:lineRule="auto"/>
      <w:ind w:left="-567"/>
      <w:rPr>
        <w:rFonts w:cs="Arial"/>
        <w:sz w:val="16"/>
        <w:szCs w:val="16"/>
      </w:rPr>
    </w:pPr>
    <w:r>
      <w:rPr>
        <w:rFonts w:cs="Arial"/>
        <w:sz w:val="16"/>
        <w:szCs w:val="16"/>
      </w:rPr>
      <w:t>Published: June 2019</w:t>
    </w:r>
    <w:r>
      <w:rPr>
        <w:rFonts w:cs="Arial"/>
        <w:sz w:val="16"/>
        <w:szCs w:val="16"/>
      </w:rPr>
      <w:tab/>
    </w:r>
    <w:sdt>
      <w:sdtPr>
        <w:id w:val="-14270279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1572">
          <w:rPr>
            <w:noProof/>
          </w:rPr>
          <w:t>14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52C" w:rsidRDefault="007D052C">
      <w:pPr>
        <w:spacing w:line="240" w:lineRule="auto"/>
      </w:pPr>
      <w:r>
        <w:separator/>
      </w:r>
    </w:p>
  </w:footnote>
  <w:footnote w:type="continuationSeparator" w:id="0">
    <w:p w:rsidR="007D052C" w:rsidRDefault="007D052C">
      <w:pPr>
        <w:spacing w:line="240" w:lineRule="auto"/>
      </w:pPr>
      <w:r>
        <w:continuationSeparator/>
      </w:r>
    </w:p>
  </w:footnote>
  <w:footnote w:id="1">
    <w:p w:rsidR="00BC2067" w:rsidRPr="00941448" w:rsidRDefault="00BC2067" w:rsidP="00BC2067">
      <w:pPr>
        <w:pStyle w:val="FootnoteText"/>
        <w:rPr>
          <w:rFonts w:asciiTheme="minorBidi" w:hAnsiTheme="minorBidi"/>
          <w:sz w:val="22"/>
          <w:szCs w:val="22"/>
        </w:rPr>
      </w:pPr>
      <w:r w:rsidRPr="00941448">
        <w:rPr>
          <w:rStyle w:val="FootnoteReference"/>
          <w:rFonts w:asciiTheme="minorBidi" w:hAnsiTheme="minorBidi"/>
          <w:sz w:val="22"/>
          <w:szCs w:val="22"/>
        </w:rPr>
        <w:footnoteRef/>
      </w:r>
      <w:r w:rsidRPr="00941448">
        <w:rPr>
          <w:rFonts w:asciiTheme="minorBidi" w:hAnsiTheme="minorBidi"/>
          <w:sz w:val="22"/>
          <w:szCs w:val="22"/>
        </w:rPr>
        <w:t xml:space="preserve"> </w:t>
      </w:r>
      <w:r w:rsidRPr="00941448">
        <w:rPr>
          <w:rFonts w:asciiTheme="minorBidi" w:hAnsiTheme="minorBidi"/>
          <w:color w:val="000000" w:themeColor="text1"/>
          <w:sz w:val="22"/>
          <w:szCs w:val="22"/>
        </w:rPr>
        <w:t>Ministry of Justice</w:t>
      </w:r>
      <w:hyperlink r:id="rId1" w:history="1">
        <w:r w:rsidRPr="00941448">
          <w:rPr>
            <w:rStyle w:val="Hyperlink"/>
            <w:rFonts w:asciiTheme="minorBidi" w:hAnsiTheme="minorBidi"/>
            <w:sz w:val="22"/>
            <w:szCs w:val="22"/>
          </w:rPr>
          <w:t>, ‘</w:t>
        </w:r>
        <w:r w:rsidRPr="00941448">
          <w:rPr>
            <w:rStyle w:val="Hyperlink"/>
            <w:rFonts w:asciiTheme="minorBidi" w:hAnsiTheme="minorBidi"/>
            <w:iCs/>
            <w:sz w:val="22"/>
            <w:szCs w:val="22"/>
          </w:rPr>
          <w:t>Legal Aid Statistics England and Wales Tables July to September 2018’</w:t>
        </w:r>
      </w:hyperlink>
      <w:r w:rsidRPr="00941448">
        <w:rPr>
          <w:rFonts w:asciiTheme="minorBidi" w:hAnsiTheme="minorBidi"/>
          <w:color w:val="000000" w:themeColor="text1"/>
          <w:sz w:val="22"/>
          <w:szCs w:val="22"/>
        </w:rPr>
        <w:t>, Tables 6.1, 6.2 and 6.3.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52C" w:rsidRPr="006347A9" w:rsidRDefault="007D052C" w:rsidP="00941448">
    <w:pPr>
      <w:pStyle w:val="Heading2"/>
      <w:tabs>
        <w:tab w:val="right" w:pos="9498"/>
      </w:tabs>
      <w:spacing w:before="0" w:after="0" w:line="312" w:lineRule="auto"/>
      <w:ind w:left="-567"/>
      <w:rPr>
        <w:sz w:val="16"/>
        <w:szCs w:val="16"/>
      </w:rPr>
    </w:pPr>
    <w:r>
      <w:rPr>
        <w:b w:val="0"/>
        <w:sz w:val="16"/>
        <w:szCs w:val="16"/>
      </w:rPr>
      <w:t xml:space="preserve">Civil Legal Advice: </w:t>
    </w:r>
    <w:r w:rsidR="00941448">
      <w:rPr>
        <w:b w:val="0"/>
        <w:sz w:val="16"/>
        <w:szCs w:val="16"/>
      </w:rPr>
      <w:t>analysis of Public Funding Certificate data</w:t>
    </w:r>
    <w:r w:rsidRPr="006347A9">
      <w:rPr>
        <w:b w:val="0"/>
        <w:sz w:val="16"/>
        <w:szCs w:val="16"/>
      </w:rPr>
      <w:tab/>
    </w:r>
    <w:r>
      <w:rPr>
        <w:sz w:val="16"/>
        <w:szCs w:val="16"/>
      </w:rPr>
      <w:t>Contents</w:t>
    </w:r>
  </w:p>
  <w:p w:rsidR="007D052C" w:rsidRDefault="007D052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207" w:rsidRDefault="003B5F9A" w:rsidP="00DC2FE2">
    <w:pPr>
      <w:pStyle w:val="Heading2"/>
      <w:tabs>
        <w:tab w:val="right" w:pos="9498"/>
      </w:tabs>
      <w:spacing w:before="0" w:after="0" w:line="312" w:lineRule="auto"/>
      <w:ind w:left="-567"/>
    </w:pPr>
    <w:r>
      <w:rPr>
        <w:b w:val="0"/>
        <w:sz w:val="16"/>
        <w:szCs w:val="16"/>
      </w:rPr>
      <w:t>Civil Legal Advice: analysis of Public Funding Certificate data</w:t>
    </w:r>
    <w:r w:rsidR="00231207" w:rsidRPr="006347A9">
      <w:rPr>
        <w:b w:val="0"/>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FE2" w:rsidRPr="006347A9" w:rsidRDefault="00DC2FE2" w:rsidP="00DC2FE2">
    <w:pPr>
      <w:pStyle w:val="Heading2"/>
      <w:tabs>
        <w:tab w:val="right" w:pos="9498"/>
      </w:tabs>
      <w:spacing w:before="0" w:after="0" w:line="312" w:lineRule="auto"/>
      <w:ind w:left="-567"/>
      <w:rPr>
        <w:sz w:val="16"/>
        <w:szCs w:val="16"/>
      </w:rPr>
    </w:pPr>
    <w:r>
      <w:rPr>
        <w:b w:val="0"/>
        <w:sz w:val="16"/>
        <w:szCs w:val="16"/>
      </w:rPr>
      <w:t xml:space="preserve">Civil Legal Advice: </w:t>
    </w:r>
    <w:r>
      <w:rPr>
        <w:b w:val="0"/>
        <w:sz w:val="16"/>
        <w:szCs w:val="16"/>
      </w:rPr>
      <w:t>analysis of Public Funding Certificate data</w:t>
    </w:r>
    <w:r w:rsidRPr="006347A9">
      <w:rPr>
        <w:b w:val="0"/>
        <w:sz w:val="16"/>
        <w:szCs w:val="16"/>
      </w:rPr>
      <w:tab/>
    </w:r>
  </w:p>
  <w:p w:rsidR="00DC2FE2" w:rsidRDefault="00DC2F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67" w:rsidRDefault="00BC2067" w:rsidP="00DC2FE2">
    <w:pPr>
      <w:pStyle w:val="Heading2"/>
      <w:tabs>
        <w:tab w:val="right" w:pos="9498"/>
      </w:tabs>
      <w:spacing w:before="0" w:after="0" w:line="312" w:lineRule="auto"/>
      <w:ind w:left="-567"/>
    </w:pPr>
    <w:r>
      <w:rPr>
        <w:b w:val="0"/>
        <w:sz w:val="16"/>
        <w:szCs w:val="16"/>
      </w:rPr>
      <w:t>Civil Legal Advice: analysis o</w:t>
    </w:r>
    <w:r w:rsidR="00941448">
      <w:rPr>
        <w:b w:val="0"/>
        <w:sz w:val="16"/>
        <w:szCs w:val="16"/>
      </w:rPr>
      <w:t>f Public Funding Certificate data</w:t>
    </w:r>
    <w:r w:rsidRPr="006347A9">
      <w:rPr>
        <w:b w:val="0"/>
        <w:sz w:val="16"/>
        <w:szCs w:val="16"/>
      </w:rPr>
      <w:tab/>
    </w:r>
  </w:p>
  <w:p w:rsidR="00BC2067" w:rsidRDefault="00BC20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90" w:rsidRDefault="00172390" w:rsidP="00DC2FE2">
    <w:pPr>
      <w:pStyle w:val="Heading2"/>
      <w:tabs>
        <w:tab w:val="right" w:pos="9498"/>
      </w:tabs>
      <w:spacing w:before="0" w:after="0" w:line="312" w:lineRule="auto"/>
      <w:ind w:left="-567"/>
    </w:pPr>
    <w:r>
      <w:rPr>
        <w:b w:val="0"/>
        <w:sz w:val="16"/>
        <w:szCs w:val="16"/>
      </w:rPr>
      <w:t>Civil Legal Advice: analysis o</w:t>
    </w:r>
    <w:r>
      <w:rPr>
        <w:b w:val="0"/>
        <w:sz w:val="16"/>
        <w:szCs w:val="16"/>
      </w:rPr>
      <w:t>f Public Funding Certificate data</w:t>
    </w:r>
    <w:r w:rsidRPr="006347A9">
      <w:rPr>
        <w:b w:val="0"/>
        <w:sz w:val="16"/>
        <w:szCs w:val="16"/>
      </w:rPr>
      <w:tab/>
    </w:r>
  </w:p>
  <w:p w:rsidR="00172390" w:rsidRDefault="001723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390" w:rsidRDefault="00172390" w:rsidP="00DC2FE2">
    <w:pPr>
      <w:pStyle w:val="Heading2"/>
      <w:tabs>
        <w:tab w:val="right" w:pos="9498"/>
      </w:tabs>
      <w:spacing w:before="0" w:after="0" w:line="312" w:lineRule="auto"/>
      <w:ind w:left="-567"/>
    </w:pPr>
    <w:r>
      <w:rPr>
        <w:b w:val="0"/>
        <w:sz w:val="16"/>
        <w:szCs w:val="16"/>
      </w:rPr>
      <w:t>Civil Legal Advice: analysis o</w:t>
    </w:r>
    <w:r>
      <w:rPr>
        <w:b w:val="0"/>
        <w:sz w:val="16"/>
        <w:szCs w:val="16"/>
      </w:rPr>
      <w:t>f Public Funding Certificate data</w:t>
    </w:r>
    <w:r w:rsidRPr="006347A9">
      <w:rPr>
        <w:b w:val="0"/>
        <w:sz w:val="16"/>
        <w:szCs w:val="16"/>
      </w:rPr>
      <w:tab/>
    </w:r>
  </w:p>
  <w:p w:rsidR="00172390" w:rsidRDefault="001723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A6" w:rsidRDefault="00B051A6" w:rsidP="00B051A6">
    <w:pPr>
      <w:pStyle w:val="Heading2"/>
      <w:tabs>
        <w:tab w:val="right" w:pos="9498"/>
      </w:tabs>
      <w:spacing w:before="0" w:after="0" w:line="312" w:lineRule="auto"/>
      <w:ind w:left="-567"/>
    </w:pPr>
    <w:r>
      <w:rPr>
        <w:b w:val="0"/>
        <w:sz w:val="16"/>
        <w:szCs w:val="16"/>
      </w:rPr>
      <w:t>Civil Legal Advice: analysis o</w:t>
    </w:r>
    <w:r>
      <w:rPr>
        <w:b w:val="0"/>
        <w:sz w:val="16"/>
        <w:szCs w:val="16"/>
      </w:rPr>
      <w:t>f Public Funding Certificate data</w:t>
    </w:r>
    <w:r w:rsidRPr="006347A9">
      <w:rPr>
        <w:b w:val="0"/>
        <w:sz w:val="16"/>
        <w:szCs w:val="16"/>
      </w:rPr>
      <w:tab/>
    </w:r>
    <w:r>
      <w:rPr>
        <w:sz w:val="16"/>
        <w:szCs w:val="16"/>
      </w:rPr>
      <w:t>4. Refusals</w:t>
    </w:r>
  </w:p>
  <w:p w:rsidR="00B051A6" w:rsidRDefault="00B051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1A6" w:rsidRPr="00B051A6" w:rsidRDefault="00B051A6" w:rsidP="00DC2FE2">
    <w:pPr>
      <w:pStyle w:val="Heading2"/>
      <w:tabs>
        <w:tab w:val="right" w:pos="9498"/>
      </w:tabs>
      <w:spacing w:before="0" w:after="0" w:line="312" w:lineRule="auto"/>
      <w:ind w:left="-567"/>
      <w:rPr>
        <w:b w:val="0"/>
        <w:sz w:val="16"/>
        <w:szCs w:val="16"/>
      </w:rPr>
    </w:pPr>
    <w:r>
      <w:rPr>
        <w:b w:val="0"/>
        <w:sz w:val="16"/>
        <w:szCs w:val="16"/>
      </w:rPr>
      <w:t>Civil Legal Advice: analysis o</w:t>
    </w:r>
    <w:r>
      <w:rPr>
        <w:b w:val="0"/>
        <w:sz w:val="16"/>
        <w:szCs w:val="16"/>
      </w:rPr>
      <w:t>f Public Funding Certificate data</w:t>
    </w:r>
    <w:r w:rsidRPr="006347A9">
      <w:rPr>
        <w:b w:val="0"/>
        <w:sz w:val="16"/>
        <w:szCs w:val="16"/>
      </w:rPr>
      <w:tab/>
    </w:r>
  </w:p>
  <w:p w:rsidR="00B051A6" w:rsidRDefault="00B051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9A" w:rsidRPr="00B051A6" w:rsidRDefault="003B5F9A" w:rsidP="00DC2FE2">
    <w:pPr>
      <w:pStyle w:val="Heading2"/>
      <w:tabs>
        <w:tab w:val="right" w:pos="9498"/>
      </w:tabs>
      <w:spacing w:before="0" w:after="0" w:line="312" w:lineRule="auto"/>
      <w:ind w:left="-567"/>
      <w:rPr>
        <w:b w:val="0"/>
        <w:sz w:val="16"/>
        <w:szCs w:val="16"/>
      </w:rPr>
    </w:pPr>
    <w:r>
      <w:rPr>
        <w:b w:val="0"/>
        <w:sz w:val="16"/>
        <w:szCs w:val="16"/>
      </w:rPr>
      <w:t>Civil Legal Advice: analysis o</w:t>
    </w:r>
    <w:r>
      <w:rPr>
        <w:b w:val="0"/>
        <w:sz w:val="16"/>
        <w:szCs w:val="16"/>
      </w:rPr>
      <w:t>f Public Funding Certificate data</w:t>
    </w:r>
    <w:r w:rsidRPr="006347A9">
      <w:rPr>
        <w:b w:val="0"/>
        <w:sz w:val="16"/>
        <w:szCs w:val="16"/>
      </w:rPr>
      <w:tab/>
    </w:r>
  </w:p>
  <w:p w:rsidR="003B5F9A" w:rsidRDefault="003B5F9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F9A" w:rsidRPr="00B051A6" w:rsidRDefault="003B5F9A" w:rsidP="00DC2FE2">
    <w:pPr>
      <w:pStyle w:val="Heading2"/>
      <w:tabs>
        <w:tab w:val="right" w:pos="9498"/>
      </w:tabs>
      <w:spacing w:before="0" w:after="0" w:line="312" w:lineRule="auto"/>
      <w:ind w:left="-567"/>
      <w:rPr>
        <w:b w:val="0"/>
        <w:sz w:val="16"/>
        <w:szCs w:val="16"/>
      </w:rPr>
    </w:pPr>
    <w:r>
      <w:rPr>
        <w:b w:val="0"/>
        <w:sz w:val="16"/>
        <w:szCs w:val="16"/>
      </w:rPr>
      <w:t>Civil Legal Advice: analysis o</w:t>
    </w:r>
    <w:r>
      <w:rPr>
        <w:b w:val="0"/>
        <w:sz w:val="16"/>
        <w:szCs w:val="16"/>
      </w:rPr>
      <w:t>f Public Funding Certificate data</w:t>
    </w:r>
    <w:r w:rsidRPr="006347A9">
      <w:rPr>
        <w:b w:val="0"/>
        <w:sz w:val="16"/>
        <w:szCs w:val="16"/>
      </w:rPr>
      <w:tab/>
    </w:r>
  </w:p>
  <w:p w:rsidR="003B5F9A" w:rsidRDefault="003B5F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3263"/>
    <w:multiLevelType w:val="hybridMultilevel"/>
    <w:tmpl w:val="C5201590"/>
    <w:lvl w:ilvl="0" w:tplc="7FC659AE">
      <w:start w:val="1"/>
      <w:numFmt w:val="decimal"/>
      <w:lvlText w:val="%1."/>
      <w:lvlJc w:val="left"/>
      <w:pPr>
        <w:ind w:left="11627" w:hanging="360"/>
      </w:pPr>
      <w:rPr>
        <w:rFonts w:hint="default"/>
        <w:b/>
      </w:rPr>
    </w:lvl>
    <w:lvl w:ilvl="1" w:tplc="08090019" w:tentative="1">
      <w:start w:val="1"/>
      <w:numFmt w:val="lowerLetter"/>
      <w:lvlText w:val="%2."/>
      <w:lvlJc w:val="left"/>
      <w:pPr>
        <w:ind w:left="12347" w:hanging="360"/>
      </w:pPr>
    </w:lvl>
    <w:lvl w:ilvl="2" w:tplc="0809001B" w:tentative="1">
      <w:start w:val="1"/>
      <w:numFmt w:val="lowerRoman"/>
      <w:lvlText w:val="%3."/>
      <w:lvlJc w:val="right"/>
      <w:pPr>
        <w:ind w:left="13067" w:hanging="180"/>
      </w:pPr>
    </w:lvl>
    <w:lvl w:ilvl="3" w:tplc="0809000F" w:tentative="1">
      <w:start w:val="1"/>
      <w:numFmt w:val="decimal"/>
      <w:lvlText w:val="%4."/>
      <w:lvlJc w:val="left"/>
      <w:pPr>
        <w:ind w:left="13787" w:hanging="360"/>
      </w:pPr>
    </w:lvl>
    <w:lvl w:ilvl="4" w:tplc="08090019" w:tentative="1">
      <w:start w:val="1"/>
      <w:numFmt w:val="lowerLetter"/>
      <w:lvlText w:val="%5."/>
      <w:lvlJc w:val="left"/>
      <w:pPr>
        <w:ind w:left="14507" w:hanging="360"/>
      </w:pPr>
    </w:lvl>
    <w:lvl w:ilvl="5" w:tplc="0809001B" w:tentative="1">
      <w:start w:val="1"/>
      <w:numFmt w:val="lowerRoman"/>
      <w:lvlText w:val="%6."/>
      <w:lvlJc w:val="right"/>
      <w:pPr>
        <w:ind w:left="15227" w:hanging="180"/>
      </w:pPr>
    </w:lvl>
    <w:lvl w:ilvl="6" w:tplc="0809000F" w:tentative="1">
      <w:start w:val="1"/>
      <w:numFmt w:val="decimal"/>
      <w:lvlText w:val="%7."/>
      <w:lvlJc w:val="left"/>
      <w:pPr>
        <w:ind w:left="15947" w:hanging="360"/>
      </w:pPr>
    </w:lvl>
    <w:lvl w:ilvl="7" w:tplc="08090019" w:tentative="1">
      <w:start w:val="1"/>
      <w:numFmt w:val="lowerLetter"/>
      <w:lvlText w:val="%8."/>
      <w:lvlJc w:val="left"/>
      <w:pPr>
        <w:ind w:left="16667" w:hanging="360"/>
      </w:pPr>
    </w:lvl>
    <w:lvl w:ilvl="8" w:tplc="0809001B" w:tentative="1">
      <w:start w:val="1"/>
      <w:numFmt w:val="lowerRoman"/>
      <w:lvlText w:val="%9."/>
      <w:lvlJc w:val="right"/>
      <w:pPr>
        <w:ind w:left="17387" w:hanging="180"/>
      </w:pPr>
    </w:lvl>
  </w:abstractNum>
  <w:abstractNum w:abstractNumId="1" w15:restartNumberingAfterBreak="0">
    <w:nsid w:val="038D6E68"/>
    <w:multiLevelType w:val="hybridMultilevel"/>
    <w:tmpl w:val="8708A7B2"/>
    <w:lvl w:ilvl="0" w:tplc="FEC0C8F4">
      <w:start w:val="1"/>
      <w:numFmt w:val="decimal"/>
      <w:lvlText w:val="%1."/>
      <w:lvlJc w:val="left"/>
      <w:pPr>
        <w:ind w:left="4254" w:hanging="360"/>
      </w:pPr>
      <w:rPr>
        <w:rFonts w:hint="default"/>
        <w:b w:val="0"/>
      </w:rPr>
    </w:lvl>
    <w:lvl w:ilvl="1" w:tplc="08090019" w:tentative="1">
      <w:start w:val="1"/>
      <w:numFmt w:val="lowerLetter"/>
      <w:lvlText w:val="%2."/>
      <w:lvlJc w:val="left"/>
      <w:pPr>
        <w:ind w:left="4974" w:hanging="360"/>
      </w:pPr>
    </w:lvl>
    <w:lvl w:ilvl="2" w:tplc="0809001B" w:tentative="1">
      <w:start w:val="1"/>
      <w:numFmt w:val="lowerRoman"/>
      <w:lvlText w:val="%3."/>
      <w:lvlJc w:val="right"/>
      <w:pPr>
        <w:ind w:left="5694" w:hanging="180"/>
      </w:pPr>
    </w:lvl>
    <w:lvl w:ilvl="3" w:tplc="0809000F" w:tentative="1">
      <w:start w:val="1"/>
      <w:numFmt w:val="decimal"/>
      <w:lvlText w:val="%4."/>
      <w:lvlJc w:val="left"/>
      <w:pPr>
        <w:ind w:left="6414" w:hanging="360"/>
      </w:pPr>
    </w:lvl>
    <w:lvl w:ilvl="4" w:tplc="08090019" w:tentative="1">
      <w:start w:val="1"/>
      <w:numFmt w:val="lowerLetter"/>
      <w:lvlText w:val="%5."/>
      <w:lvlJc w:val="left"/>
      <w:pPr>
        <w:ind w:left="7134" w:hanging="360"/>
      </w:pPr>
    </w:lvl>
    <w:lvl w:ilvl="5" w:tplc="0809001B" w:tentative="1">
      <w:start w:val="1"/>
      <w:numFmt w:val="lowerRoman"/>
      <w:lvlText w:val="%6."/>
      <w:lvlJc w:val="right"/>
      <w:pPr>
        <w:ind w:left="7854" w:hanging="180"/>
      </w:pPr>
    </w:lvl>
    <w:lvl w:ilvl="6" w:tplc="0809000F" w:tentative="1">
      <w:start w:val="1"/>
      <w:numFmt w:val="decimal"/>
      <w:lvlText w:val="%7."/>
      <w:lvlJc w:val="left"/>
      <w:pPr>
        <w:ind w:left="8574" w:hanging="360"/>
      </w:pPr>
    </w:lvl>
    <w:lvl w:ilvl="7" w:tplc="08090019" w:tentative="1">
      <w:start w:val="1"/>
      <w:numFmt w:val="lowerLetter"/>
      <w:lvlText w:val="%8."/>
      <w:lvlJc w:val="left"/>
      <w:pPr>
        <w:ind w:left="9294" w:hanging="360"/>
      </w:pPr>
    </w:lvl>
    <w:lvl w:ilvl="8" w:tplc="0809001B" w:tentative="1">
      <w:start w:val="1"/>
      <w:numFmt w:val="lowerRoman"/>
      <w:lvlText w:val="%9."/>
      <w:lvlJc w:val="right"/>
      <w:pPr>
        <w:ind w:left="10014" w:hanging="180"/>
      </w:pPr>
    </w:lvl>
  </w:abstractNum>
  <w:abstractNum w:abstractNumId="2" w15:restartNumberingAfterBreak="0">
    <w:nsid w:val="06615805"/>
    <w:multiLevelType w:val="hybridMultilevel"/>
    <w:tmpl w:val="DEA0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246DD"/>
    <w:multiLevelType w:val="hybridMultilevel"/>
    <w:tmpl w:val="73AE601A"/>
    <w:lvl w:ilvl="0" w:tplc="2124D5B2">
      <w:start w:val="5"/>
      <w:numFmt w:val="decimal"/>
      <w:lvlText w:val="%1."/>
      <w:lvlJc w:val="left"/>
      <w:pPr>
        <w:ind w:left="720"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B94DCC"/>
    <w:multiLevelType w:val="hybridMultilevel"/>
    <w:tmpl w:val="A92A5D16"/>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42DC5"/>
    <w:multiLevelType w:val="hybridMultilevel"/>
    <w:tmpl w:val="2CF66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C7553C"/>
    <w:multiLevelType w:val="hybridMultilevel"/>
    <w:tmpl w:val="3002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BF5BFD"/>
    <w:multiLevelType w:val="hybridMultilevel"/>
    <w:tmpl w:val="FA62033E"/>
    <w:lvl w:ilvl="0" w:tplc="A7AC070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DC3299"/>
    <w:multiLevelType w:val="hybridMultilevel"/>
    <w:tmpl w:val="CF76A028"/>
    <w:lvl w:ilvl="0" w:tplc="382A029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C53F3F"/>
    <w:multiLevelType w:val="hybridMultilevel"/>
    <w:tmpl w:val="5BDEB5EC"/>
    <w:lvl w:ilvl="0" w:tplc="1D408D6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BA81783"/>
    <w:multiLevelType w:val="hybridMultilevel"/>
    <w:tmpl w:val="432ED064"/>
    <w:lvl w:ilvl="0" w:tplc="0809000F">
      <w:start w:val="1"/>
      <w:numFmt w:val="decimal"/>
      <w:lvlText w:val="%1."/>
      <w:lvlJc w:val="left"/>
      <w:pPr>
        <w:ind w:left="4472" w:hanging="360"/>
      </w:pPr>
      <w:rPr>
        <w:rFonts w:hint="default"/>
      </w:rPr>
    </w:lvl>
    <w:lvl w:ilvl="1" w:tplc="08090019" w:tentative="1">
      <w:start w:val="1"/>
      <w:numFmt w:val="lowerLetter"/>
      <w:lvlText w:val="%2."/>
      <w:lvlJc w:val="left"/>
      <w:pPr>
        <w:ind w:left="3567" w:hanging="360"/>
      </w:pPr>
    </w:lvl>
    <w:lvl w:ilvl="2" w:tplc="0809001B" w:tentative="1">
      <w:start w:val="1"/>
      <w:numFmt w:val="lowerRoman"/>
      <w:lvlText w:val="%3."/>
      <w:lvlJc w:val="right"/>
      <w:pPr>
        <w:ind w:left="4287" w:hanging="180"/>
      </w:pPr>
    </w:lvl>
    <w:lvl w:ilvl="3" w:tplc="0809000F" w:tentative="1">
      <w:start w:val="1"/>
      <w:numFmt w:val="decimal"/>
      <w:lvlText w:val="%4."/>
      <w:lvlJc w:val="left"/>
      <w:pPr>
        <w:ind w:left="5007" w:hanging="360"/>
      </w:pPr>
    </w:lvl>
    <w:lvl w:ilvl="4" w:tplc="08090019" w:tentative="1">
      <w:start w:val="1"/>
      <w:numFmt w:val="lowerLetter"/>
      <w:lvlText w:val="%5."/>
      <w:lvlJc w:val="left"/>
      <w:pPr>
        <w:ind w:left="5727" w:hanging="360"/>
      </w:pPr>
    </w:lvl>
    <w:lvl w:ilvl="5" w:tplc="0809001B" w:tentative="1">
      <w:start w:val="1"/>
      <w:numFmt w:val="lowerRoman"/>
      <w:lvlText w:val="%6."/>
      <w:lvlJc w:val="right"/>
      <w:pPr>
        <w:ind w:left="6447" w:hanging="180"/>
      </w:pPr>
    </w:lvl>
    <w:lvl w:ilvl="6" w:tplc="0809000F" w:tentative="1">
      <w:start w:val="1"/>
      <w:numFmt w:val="decimal"/>
      <w:lvlText w:val="%7."/>
      <w:lvlJc w:val="left"/>
      <w:pPr>
        <w:ind w:left="7167" w:hanging="360"/>
      </w:pPr>
    </w:lvl>
    <w:lvl w:ilvl="7" w:tplc="08090019" w:tentative="1">
      <w:start w:val="1"/>
      <w:numFmt w:val="lowerLetter"/>
      <w:lvlText w:val="%8."/>
      <w:lvlJc w:val="left"/>
      <w:pPr>
        <w:ind w:left="7887" w:hanging="360"/>
      </w:pPr>
    </w:lvl>
    <w:lvl w:ilvl="8" w:tplc="0809001B" w:tentative="1">
      <w:start w:val="1"/>
      <w:numFmt w:val="lowerRoman"/>
      <w:lvlText w:val="%9."/>
      <w:lvlJc w:val="right"/>
      <w:pPr>
        <w:ind w:left="8607" w:hanging="180"/>
      </w:pPr>
    </w:lvl>
  </w:abstractNum>
  <w:abstractNum w:abstractNumId="11" w15:restartNumberingAfterBreak="0">
    <w:nsid w:val="300C7BCB"/>
    <w:multiLevelType w:val="hybridMultilevel"/>
    <w:tmpl w:val="3BCECE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47FD9"/>
    <w:multiLevelType w:val="hybridMultilevel"/>
    <w:tmpl w:val="FA32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B2DA9"/>
    <w:multiLevelType w:val="hybridMultilevel"/>
    <w:tmpl w:val="6422E926"/>
    <w:lvl w:ilvl="0" w:tplc="3FD89B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7172E53"/>
    <w:multiLevelType w:val="hybridMultilevel"/>
    <w:tmpl w:val="A404C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2B6338"/>
    <w:multiLevelType w:val="hybridMultilevel"/>
    <w:tmpl w:val="1DA6AA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F07709"/>
    <w:multiLevelType w:val="hybridMultilevel"/>
    <w:tmpl w:val="7E4A80D0"/>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FC42180">
      <w:numFmt w:val="bullet"/>
      <w:pStyle w:val="Bullets-sub-bullets"/>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171FB"/>
    <w:multiLevelType w:val="hybridMultilevel"/>
    <w:tmpl w:val="DF3A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902CE"/>
    <w:multiLevelType w:val="hybridMultilevel"/>
    <w:tmpl w:val="DC5E8A48"/>
    <w:lvl w:ilvl="0" w:tplc="88D6E7CC">
      <w:start w:val="1"/>
      <w:numFmt w:val="decimal"/>
      <w:pStyle w:val="Numberedlistlastingroup"/>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0FB0C72"/>
    <w:multiLevelType w:val="hybridMultilevel"/>
    <w:tmpl w:val="6B4E0F16"/>
    <w:lvl w:ilvl="0" w:tplc="7FC659AE">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25E89"/>
    <w:multiLevelType w:val="hybridMultilevel"/>
    <w:tmpl w:val="6D54C5B4"/>
    <w:lvl w:ilvl="0" w:tplc="0A7A554A">
      <w:start w:val="4"/>
      <w:numFmt w:val="decimal"/>
      <w:lvlText w:val="%1."/>
      <w:lvlJc w:val="left"/>
      <w:pPr>
        <w:ind w:left="4046" w:hanging="360"/>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21" w15:restartNumberingAfterBreak="0">
    <w:nsid w:val="41EB1812"/>
    <w:multiLevelType w:val="hybridMultilevel"/>
    <w:tmpl w:val="509A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394176"/>
    <w:multiLevelType w:val="hybridMultilevel"/>
    <w:tmpl w:val="2FC04306"/>
    <w:lvl w:ilvl="0" w:tplc="E0A23E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6EF0B31"/>
    <w:multiLevelType w:val="hybridMultilevel"/>
    <w:tmpl w:val="169E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97D82"/>
    <w:multiLevelType w:val="hybridMultilevel"/>
    <w:tmpl w:val="251C181E"/>
    <w:lvl w:ilvl="0" w:tplc="0809000F">
      <w:start w:val="1"/>
      <w:numFmt w:val="decimal"/>
      <w:lvlText w:val="%1."/>
      <w:lvlJc w:val="left"/>
      <w:pPr>
        <w:ind w:left="3762" w:hanging="360"/>
      </w:pPr>
      <w:rPr>
        <w:rFonts w:hint="default"/>
      </w:rPr>
    </w:lvl>
    <w:lvl w:ilvl="1" w:tplc="08090019">
      <w:start w:val="1"/>
      <w:numFmt w:val="lowerLetter"/>
      <w:lvlText w:val="%2."/>
      <w:lvlJc w:val="left"/>
      <w:pPr>
        <w:ind w:left="4275" w:hanging="360"/>
      </w:pPr>
    </w:lvl>
    <w:lvl w:ilvl="2" w:tplc="0809001B" w:tentative="1">
      <w:start w:val="1"/>
      <w:numFmt w:val="lowerRoman"/>
      <w:lvlText w:val="%3."/>
      <w:lvlJc w:val="right"/>
      <w:pPr>
        <w:ind w:left="4995" w:hanging="180"/>
      </w:pPr>
    </w:lvl>
    <w:lvl w:ilvl="3" w:tplc="0809000F" w:tentative="1">
      <w:start w:val="1"/>
      <w:numFmt w:val="decimal"/>
      <w:lvlText w:val="%4."/>
      <w:lvlJc w:val="left"/>
      <w:pPr>
        <w:ind w:left="5715" w:hanging="360"/>
      </w:pPr>
    </w:lvl>
    <w:lvl w:ilvl="4" w:tplc="08090019" w:tentative="1">
      <w:start w:val="1"/>
      <w:numFmt w:val="lowerLetter"/>
      <w:lvlText w:val="%5."/>
      <w:lvlJc w:val="left"/>
      <w:pPr>
        <w:ind w:left="6435" w:hanging="360"/>
      </w:pPr>
    </w:lvl>
    <w:lvl w:ilvl="5" w:tplc="0809001B" w:tentative="1">
      <w:start w:val="1"/>
      <w:numFmt w:val="lowerRoman"/>
      <w:lvlText w:val="%6."/>
      <w:lvlJc w:val="right"/>
      <w:pPr>
        <w:ind w:left="7155" w:hanging="180"/>
      </w:pPr>
    </w:lvl>
    <w:lvl w:ilvl="6" w:tplc="0809000F" w:tentative="1">
      <w:start w:val="1"/>
      <w:numFmt w:val="decimal"/>
      <w:lvlText w:val="%7."/>
      <w:lvlJc w:val="left"/>
      <w:pPr>
        <w:ind w:left="7875" w:hanging="360"/>
      </w:pPr>
    </w:lvl>
    <w:lvl w:ilvl="7" w:tplc="08090019" w:tentative="1">
      <w:start w:val="1"/>
      <w:numFmt w:val="lowerLetter"/>
      <w:lvlText w:val="%8."/>
      <w:lvlJc w:val="left"/>
      <w:pPr>
        <w:ind w:left="8595" w:hanging="360"/>
      </w:pPr>
    </w:lvl>
    <w:lvl w:ilvl="8" w:tplc="0809001B" w:tentative="1">
      <w:start w:val="1"/>
      <w:numFmt w:val="lowerRoman"/>
      <w:lvlText w:val="%9."/>
      <w:lvlJc w:val="right"/>
      <w:pPr>
        <w:ind w:left="9315" w:hanging="180"/>
      </w:pPr>
    </w:lvl>
  </w:abstractNum>
  <w:abstractNum w:abstractNumId="25" w15:restartNumberingAfterBreak="0">
    <w:nsid w:val="4C645EAA"/>
    <w:multiLevelType w:val="hybridMultilevel"/>
    <w:tmpl w:val="ED161C4C"/>
    <w:lvl w:ilvl="0" w:tplc="C35A0C7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769CB"/>
    <w:multiLevelType w:val="hybridMultilevel"/>
    <w:tmpl w:val="C4AE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65DF9"/>
    <w:multiLevelType w:val="hybridMultilevel"/>
    <w:tmpl w:val="C5340BDA"/>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59BB2A26"/>
    <w:multiLevelType w:val="hybridMultilevel"/>
    <w:tmpl w:val="6916D52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9" w15:restartNumberingAfterBreak="0">
    <w:nsid w:val="6FE8745F"/>
    <w:multiLevelType w:val="hybridMultilevel"/>
    <w:tmpl w:val="4B22DD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351AC"/>
    <w:multiLevelType w:val="hybridMultilevel"/>
    <w:tmpl w:val="2D86C776"/>
    <w:lvl w:ilvl="0" w:tplc="0809000F">
      <w:start w:val="1"/>
      <w:numFmt w:val="decimal"/>
      <w:lvlText w:val="%1."/>
      <w:lvlJc w:val="left"/>
      <w:pPr>
        <w:ind w:left="4329" w:hanging="360"/>
      </w:pPr>
      <w:rPr>
        <w:rFonts w:hint="default"/>
      </w:rPr>
    </w:lvl>
    <w:lvl w:ilvl="1" w:tplc="08090019">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32" w15:restartNumberingAfterBreak="0">
    <w:nsid w:val="7C1618C3"/>
    <w:multiLevelType w:val="hybridMultilevel"/>
    <w:tmpl w:val="4AD0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941F6F"/>
    <w:multiLevelType w:val="hybridMultilevel"/>
    <w:tmpl w:val="7040E3F4"/>
    <w:lvl w:ilvl="0" w:tplc="08090001">
      <w:start w:val="1"/>
      <w:numFmt w:val="bullet"/>
      <w:lvlText w:val=""/>
      <w:lvlJc w:val="left"/>
      <w:pPr>
        <w:ind w:left="720" w:hanging="360"/>
      </w:pPr>
      <w:rPr>
        <w:rFonts w:ascii="Symbol" w:hAnsi="Symbol" w:hint="default"/>
      </w:rPr>
    </w:lvl>
    <w:lvl w:ilvl="1" w:tplc="F858012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18"/>
  </w:num>
  <w:num w:numId="4">
    <w:abstractNumId w:val="13"/>
  </w:num>
  <w:num w:numId="5">
    <w:abstractNumId w:val="32"/>
  </w:num>
  <w:num w:numId="6">
    <w:abstractNumId w:val="17"/>
  </w:num>
  <w:num w:numId="7">
    <w:abstractNumId w:val="12"/>
  </w:num>
  <w:num w:numId="8">
    <w:abstractNumId w:val="27"/>
  </w:num>
  <w:num w:numId="9">
    <w:abstractNumId w:val="28"/>
  </w:num>
  <w:num w:numId="10">
    <w:abstractNumId w:val="8"/>
  </w:num>
  <w:num w:numId="11">
    <w:abstractNumId w:val="29"/>
  </w:num>
  <w:num w:numId="12">
    <w:abstractNumId w:val="0"/>
  </w:num>
  <w:num w:numId="13">
    <w:abstractNumId w:val="23"/>
  </w:num>
  <w:num w:numId="14">
    <w:abstractNumId w:val="19"/>
  </w:num>
  <w:num w:numId="15">
    <w:abstractNumId w:val="4"/>
  </w:num>
  <w:num w:numId="16">
    <w:abstractNumId w:val="31"/>
  </w:num>
  <w:num w:numId="17">
    <w:abstractNumId w:val="24"/>
  </w:num>
  <w:num w:numId="18">
    <w:abstractNumId w:val="33"/>
  </w:num>
  <w:num w:numId="19">
    <w:abstractNumId w:val="2"/>
  </w:num>
  <w:num w:numId="20">
    <w:abstractNumId w:val="6"/>
  </w:num>
  <w:num w:numId="21">
    <w:abstractNumId w:val="26"/>
  </w:num>
  <w:num w:numId="22">
    <w:abstractNumId w:val="7"/>
  </w:num>
  <w:num w:numId="23">
    <w:abstractNumId w:val="1"/>
  </w:num>
  <w:num w:numId="24">
    <w:abstractNumId w:val="5"/>
  </w:num>
  <w:num w:numId="25">
    <w:abstractNumId w:val="11"/>
  </w:num>
  <w:num w:numId="26">
    <w:abstractNumId w:val="25"/>
  </w:num>
  <w:num w:numId="27">
    <w:abstractNumId w:val="22"/>
  </w:num>
  <w:num w:numId="28">
    <w:abstractNumId w:val="15"/>
  </w:num>
  <w:num w:numId="29">
    <w:abstractNumId w:val="10"/>
  </w:num>
  <w:num w:numId="30">
    <w:abstractNumId w:val="3"/>
  </w:num>
  <w:num w:numId="31">
    <w:abstractNumId w:val="14"/>
  </w:num>
  <w:num w:numId="32">
    <w:abstractNumId w:val="20"/>
  </w:num>
  <w:num w:numId="33">
    <w:abstractNumId w:val="2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9B"/>
    <w:rsid w:val="0009187E"/>
    <w:rsid w:val="00172390"/>
    <w:rsid w:val="00207576"/>
    <w:rsid w:val="00231207"/>
    <w:rsid w:val="0023197B"/>
    <w:rsid w:val="003B5F9A"/>
    <w:rsid w:val="003C36A7"/>
    <w:rsid w:val="0047788F"/>
    <w:rsid w:val="00651572"/>
    <w:rsid w:val="006615C4"/>
    <w:rsid w:val="00672D06"/>
    <w:rsid w:val="007D052C"/>
    <w:rsid w:val="00824DA9"/>
    <w:rsid w:val="00941448"/>
    <w:rsid w:val="009424F6"/>
    <w:rsid w:val="00970D9B"/>
    <w:rsid w:val="009C08E2"/>
    <w:rsid w:val="009F5011"/>
    <w:rsid w:val="00A26C9D"/>
    <w:rsid w:val="00B051A6"/>
    <w:rsid w:val="00BC2067"/>
    <w:rsid w:val="00C52685"/>
    <w:rsid w:val="00C675EC"/>
    <w:rsid w:val="00DC2FE2"/>
    <w:rsid w:val="00DE5DA8"/>
    <w:rsid w:val="00F84E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BB5DD"/>
  <w15:chartTrackingRefBased/>
  <w15:docId w15:val="{7E568C8E-C85A-4809-BB82-3F1BD0084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9B"/>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qFormat/>
    <w:rsid w:val="00970D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0D9B"/>
    <w:pPr>
      <w:keepNext/>
      <w:keepLines/>
      <w:spacing w:before="200" w:after="120"/>
      <w:outlineLvl w:val="1"/>
    </w:pPr>
    <w:rPr>
      <w:rFonts w:eastAsia="Times New Roman"/>
      <w:b/>
      <w:bCs/>
      <w:szCs w:val="26"/>
    </w:rPr>
  </w:style>
  <w:style w:type="paragraph" w:styleId="Heading3">
    <w:name w:val="heading 3"/>
    <w:basedOn w:val="Normal"/>
    <w:next w:val="Normal"/>
    <w:link w:val="Heading3Char"/>
    <w:uiPriority w:val="9"/>
    <w:unhideWhenUsed/>
    <w:qFormat/>
    <w:rsid w:val="00672D06"/>
    <w:pPr>
      <w:keepNext/>
      <w:keepLines/>
      <w:spacing w:before="40" w:line="240" w:lineRule="auto"/>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D9B"/>
    <w:rPr>
      <w:rFonts w:ascii="Arial" w:eastAsia="Times New Roman" w:hAnsi="Arial" w:cs="Times New Roman"/>
      <w:b/>
      <w:bCs/>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styleId="Footer">
    <w:name w:val="footer"/>
    <w:basedOn w:val="Normal"/>
    <w:link w:val="FooterChar"/>
    <w:uiPriority w:val="99"/>
    <w:unhideWhenUsed/>
    <w:rsid w:val="00970D9B"/>
    <w:pPr>
      <w:tabs>
        <w:tab w:val="center" w:pos="4513"/>
        <w:tab w:val="right" w:pos="9026"/>
      </w:tabs>
    </w:pPr>
  </w:style>
  <w:style w:type="character" w:customStyle="1" w:styleId="FooterChar">
    <w:name w:val="Footer Char"/>
    <w:basedOn w:val="DefaultParagraphFont"/>
    <w:link w:val="Footer"/>
    <w:uiPriority w:val="99"/>
    <w:rsid w:val="00970D9B"/>
    <w:rPr>
      <w:rFonts w:ascii="Arial" w:eastAsia="Calibri" w:hAnsi="Arial" w:cs="Times New Roman"/>
      <w:sz w:val="24"/>
    </w:rPr>
  </w:style>
  <w:style w:type="paragraph" w:customStyle="1" w:styleId="Parabeforeanother">
    <w:name w:val="&gt; Para before another"/>
    <w:basedOn w:val="Normal"/>
    <w:qFormat/>
    <w:rsid w:val="00970D9B"/>
    <w:pPr>
      <w:spacing w:after="160" w:line="312" w:lineRule="auto"/>
    </w:pPr>
    <w:rPr>
      <w:rFonts w:cs="Arial"/>
      <w:szCs w:val="24"/>
    </w:rPr>
  </w:style>
  <w:style w:type="paragraph" w:customStyle="1" w:styleId="Title-subsections">
    <w:name w:val="&gt; Title - subsections"/>
    <w:basedOn w:val="Parabeforeanother"/>
    <w:qFormat/>
    <w:rsid w:val="00970D9B"/>
    <w:pPr>
      <w:spacing w:after="100"/>
    </w:pPr>
    <w:rPr>
      <w:b/>
    </w:rPr>
  </w:style>
  <w:style w:type="paragraph" w:customStyle="1" w:styleId="Parabeforenewsection">
    <w:name w:val="&gt; Para before new section"/>
    <w:basedOn w:val="Parabeforeanother"/>
    <w:qFormat/>
    <w:rsid w:val="00970D9B"/>
    <w:pPr>
      <w:spacing w:after="680"/>
    </w:pPr>
    <w:rPr>
      <w:rFonts w:cs="Times New Roman"/>
    </w:rPr>
  </w:style>
  <w:style w:type="paragraph" w:customStyle="1" w:styleId="Title-chapterorange">
    <w:name w:val="&gt; Title - chapter orange"/>
    <w:basedOn w:val="Heading1"/>
    <w:qFormat/>
    <w:rsid w:val="00970D9B"/>
    <w:pPr>
      <w:spacing w:before="0" w:after="1920" w:line="288" w:lineRule="auto"/>
    </w:pPr>
    <w:rPr>
      <w:rFonts w:ascii="Georgia" w:eastAsia="Times New Roman" w:hAnsi="Georgia" w:cs="Times New Roman"/>
      <w:bCs/>
      <w:color w:val="F08100"/>
      <w:sz w:val="48"/>
      <w:szCs w:val="48"/>
    </w:rPr>
  </w:style>
  <w:style w:type="paragraph" w:customStyle="1" w:styleId="Parabeforetable">
    <w:name w:val="&gt; Para before table"/>
    <w:basedOn w:val="Parabeforenewsection"/>
    <w:qFormat/>
    <w:rsid w:val="00970D9B"/>
    <w:pPr>
      <w:spacing w:after="420"/>
    </w:pPr>
  </w:style>
  <w:style w:type="paragraph" w:customStyle="1" w:styleId="Parabeforebulletss">
    <w:name w:val="&gt; Para before bullets/#s"/>
    <w:basedOn w:val="Normal"/>
    <w:qFormat/>
    <w:rsid w:val="00970D9B"/>
    <w:pPr>
      <w:spacing w:after="60" w:line="312" w:lineRule="auto"/>
    </w:pPr>
    <w:rPr>
      <w:szCs w:val="24"/>
    </w:rPr>
  </w:style>
  <w:style w:type="paragraph" w:customStyle="1" w:styleId="Bullet-followedbyothers">
    <w:name w:val="&gt; Bullet - followed by others"/>
    <w:basedOn w:val="Normal"/>
    <w:qFormat/>
    <w:rsid w:val="00970D9B"/>
    <w:pPr>
      <w:numPr>
        <w:numId w:val="1"/>
      </w:numPr>
      <w:spacing w:after="40" w:line="312" w:lineRule="auto"/>
      <w:ind w:left="340" w:hanging="340"/>
    </w:pPr>
    <w:rPr>
      <w:szCs w:val="24"/>
    </w:rPr>
  </w:style>
  <w:style w:type="paragraph" w:customStyle="1" w:styleId="Bullet-lastingroup">
    <w:name w:val="&gt; Bullet - last in group"/>
    <w:basedOn w:val="Bullet-followedbyothers"/>
    <w:qFormat/>
    <w:rsid w:val="00970D9B"/>
    <w:pPr>
      <w:spacing w:after="240"/>
    </w:pPr>
  </w:style>
  <w:style w:type="paragraph" w:customStyle="1" w:styleId="Title-sectionsorange">
    <w:name w:val="&gt; Title - sections orange"/>
    <w:basedOn w:val="Heading2"/>
    <w:qFormat/>
    <w:rsid w:val="00970D9B"/>
    <w:pPr>
      <w:pBdr>
        <w:bottom w:val="dotted" w:sz="4" w:space="1" w:color="auto"/>
      </w:pBdr>
      <w:spacing w:before="0" w:after="320" w:line="312" w:lineRule="auto"/>
    </w:pPr>
    <w:rPr>
      <w:color w:val="ED8B00"/>
      <w:sz w:val="28"/>
    </w:rPr>
  </w:style>
  <w:style w:type="paragraph" w:customStyle="1" w:styleId="Title-numberedsectionsorange">
    <w:name w:val="&gt; Title - numbered sections orange"/>
    <w:basedOn w:val="Title-sectionsorange"/>
    <w:qFormat/>
    <w:rsid w:val="00970D9B"/>
    <w:pPr>
      <w:spacing w:after="340"/>
      <w:ind w:left="709" w:hanging="709"/>
    </w:pPr>
  </w:style>
  <w:style w:type="paragraph" w:customStyle="1" w:styleId="Bullets-sub-bullets">
    <w:name w:val="&gt; Bullets - sub-bullets"/>
    <w:basedOn w:val="Bullet-followedbyothers"/>
    <w:qFormat/>
    <w:rsid w:val="00970D9B"/>
    <w:pPr>
      <w:numPr>
        <w:ilvl w:val="1"/>
        <w:numId w:val="2"/>
      </w:numPr>
      <w:ind w:left="737" w:hanging="340"/>
    </w:pPr>
    <w:rPr>
      <w:rFonts w:cs="Arial"/>
      <w:szCs w:val="28"/>
    </w:rPr>
  </w:style>
  <w:style w:type="paragraph" w:customStyle="1" w:styleId="Title-tablesorange">
    <w:name w:val="&gt; Title - tables orange"/>
    <w:basedOn w:val="Parabeforeanother"/>
    <w:qFormat/>
    <w:rsid w:val="00970D9B"/>
    <w:pPr>
      <w:spacing w:after="80"/>
      <w:ind w:left="1276" w:hanging="1276"/>
      <w:outlineLvl w:val="2"/>
    </w:pPr>
    <w:rPr>
      <w:b/>
      <w:color w:val="ED8B00"/>
      <w:lang w:eastAsia="en-GB"/>
    </w:rPr>
  </w:style>
  <w:style w:type="paragraph" w:customStyle="1" w:styleId="Parabeforetextbox">
    <w:name w:val="&gt; Para before text box"/>
    <w:basedOn w:val="Parabeforeanother"/>
    <w:qFormat/>
    <w:rsid w:val="00970D9B"/>
    <w:pPr>
      <w:spacing w:after="260"/>
    </w:pPr>
    <w:rPr>
      <w:lang w:eastAsia="en-GB"/>
    </w:rPr>
  </w:style>
  <w:style w:type="paragraph" w:customStyle="1" w:styleId="Tablenotes">
    <w:name w:val="&gt; Table notes"/>
    <w:basedOn w:val="Normal"/>
    <w:qFormat/>
    <w:rsid w:val="00970D9B"/>
    <w:pPr>
      <w:autoSpaceDE w:val="0"/>
      <w:autoSpaceDN w:val="0"/>
      <w:adjustRightInd w:val="0"/>
      <w:spacing w:line="240" w:lineRule="auto"/>
    </w:pPr>
    <w:rPr>
      <w:rFonts w:cs="Arial"/>
      <w:color w:val="000000"/>
      <w:sz w:val="22"/>
      <w:lang w:eastAsia="en-GB"/>
    </w:rPr>
  </w:style>
  <w:style w:type="paragraph" w:customStyle="1" w:styleId="Parabeforenewsubsection">
    <w:name w:val="&gt; Para before new subsection"/>
    <w:basedOn w:val="Parabeforenewsection"/>
    <w:qFormat/>
    <w:rsid w:val="00970D9B"/>
    <w:pPr>
      <w:spacing w:after="420"/>
    </w:pPr>
    <w:rPr>
      <w:rFonts w:cs="Arial"/>
    </w:rPr>
  </w:style>
  <w:style w:type="paragraph" w:customStyle="1" w:styleId="Paraintextboxlast">
    <w:name w:val="&gt; Para in text box (last)"/>
    <w:basedOn w:val="Parabeforeanother"/>
    <w:qFormat/>
    <w:rsid w:val="00970D9B"/>
    <w:pPr>
      <w:spacing w:after="0"/>
    </w:pPr>
  </w:style>
  <w:style w:type="paragraph" w:customStyle="1" w:styleId="Parabetwtextboxandnewpara">
    <w:name w:val="&gt; Para betw. text box and new para"/>
    <w:basedOn w:val="Parabeforetextbox"/>
    <w:qFormat/>
    <w:rsid w:val="00970D9B"/>
    <w:pPr>
      <w:spacing w:after="0"/>
    </w:pPr>
  </w:style>
  <w:style w:type="paragraph" w:customStyle="1" w:styleId="Numberedlist">
    <w:name w:val="&gt; Numbered list"/>
    <w:basedOn w:val="Bullet-followedbyothers"/>
    <w:qFormat/>
    <w:rsid w:val="00970D9B"/>
    <w:pPr>
      <w:numPr>
        <w:numId w:val="0"/>
      </w:numPr>
      <w:tabs>
        <w:tab w:val="num" w:pos="360"/>
      </w:tabs>
      <w:ind w:left="425" w:hanging="425"/>
    </w:pPr>
  </w:style>
  <w:style w:type="paragraph" w:customStyle="1" w:styleId="Numberedlistlastingroup">
    <w:name w:val="&gt; Numbered list (last in group)"/>
    <w:basedOn w:val="Bullet-followedbyothers"/>
    <w:qFormat/>
    <w:rsid w:val="00970D9B"/>
    <w:pPr>
      <w:numPr>
        <w:numId w:val="3"/>
      </w:numPr>
      <w:spacing w:after="160"/>
      <w:ind w:left="425" w:hanging="425"/>
    </w:pPr>
  </w:style>
  <w:style w:type="paragraph" w:customStyle="1" w:styleId="Title-chaptergrey">
    <w:name w:val="&gt; Title - chapter grey"/>
    <w:basedOn w:val="Title-chapterorange"/>
    <w:qFormat/>
    <w:rsid w:val="00970D9B"/>
    <w:rPr>
      <w:color w:val="505759"/>
    </w:rPr>
  </w:style>
  <w:style w:type="paragraph" w:customStyle="1" w:styleId="Title-numberedsectionsgrey">
    <w:name w:val="&gt;Title - numbered sections grey"/>
    <w:basedOn w:val="Title-numberedsectionsorange"/>
    <w:qFormat/>
    <w:rsid w:val="00970D9B"/>
    <w:rPr>
      <w:color w:val="505759"/>
    </w:rPr>
  </w:style>
  <w:style w:type="paragraph" w:customStyle="1" w:styleId="Title-tablesgrey">
    <w:name w:val="&gt;Title - tables grey"/>
    <w:basedOn w:val="Title-tablesorange"/>
    <w:qFormat/>
    <w:rsid w:val="00970D9B"/>
    <w:rPr>
      <w:color w:val="505759"/>
    </w:rPr>
  </w:style>
  <w:style w:type="paragraph" w:customStyle="1" w:styleId="Title-chapterpurple">
    <w:name w:val="&gt;Title - chapter purple"/>
    <w:basedOn w:val="Title-chapterorange"/>
    <w:qFormat/>
    <w:rsid w:val="00970D9B"/>
    <w:rPr>
      <w:color w:val="AF1685"/>
    </w:rPr>
  </w:style>
  <w:style w:type="paragraph" w:customStyle="1" w:styleId="Title-tablespurple">
    <w:name w:val="&gt;Title - tables purple"/>
    <w:basedOn w:val="Title-tablesgrey"/>
    <w:qFormat/>
    <w:rsid w:val="00970D9B"/>
    <w:rPr>
      <w:color w:val="AF1685"/>
    </w:rPr>
  </w:style>
  <w:style w:type="character" w:customStyle="1" w:styleId="Heading1Char">
    <w:name w:val="Heading 1 Char"/>
    <w:basedOn w:val="DefaultParagraphFont"/>
    <w:link w:val="Heading1"/>
    <w:uiPriority w:val="9"/>
    <w:rsid w:val="00970D9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672D06"/>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672D06"/>
    <w:pPr>
      <w:spacing w:line="240" w:lineRule="auto"/>
    </w:pPr>
    <w:rPr>
      <w:rFonts w:ascii="Helvetica" w:eastAsiaTheme="minorHAnsi" w:hAnsi="Helvetica"/>
      <w:color w:val="FFFFFF"/>
      <w:sz w:val="39"/>
      <w:szCs w:val="39"/>
      <w:lang w:eastAsia="en-GB"/>
    </w:rPr>
  </w:style>
  <w:style w:type="paragraph" w:customStyle="1" w:styleId="p2">
    <w:name w:val="p2"/>
    <w:basedOn w:val="Normal"/>
    <w:rsid w:val="00672D06"/>
    <w:pPr>
      <w:spacing w:line="240" w:lineRule="auto"/>
    </w:pPr>
    <w:rPr>
      <w:rFonts w:ascii="Helvetica" w:eastAsiaTheme="minorHAnsi" w:hAnsi="Helvetica"/>
      <w:color w:val="FFFFFF"/>
      <w:sz w:val="18"/>
      <w:szCs w:val="18"/>
      <w:lang w:eastAsia="en-GB"/>
    </w:rPr>
  </w:style>
  <w:style w:type="character" w:customStyle="1" w:styleId="apple-converted-space">
    <w:name w:val="apple-converted-space"/>
    <w:basedOn w:val="DefaultParagraphFont"/>
    <w:rsid w:val="00672D06"/>
  </w:style>
  <w:style w:type="character" w:customStyle="1" w:styleId="s1">
    <w:name w:val="s1"/>
    <w:basedOn w:val="DefaultParagraphFont"/>
    <w:rsid w:val="00672D06"/>
    <w:rPr>
      <w:color w:val="000000"/>
    </w:rPr>
  </w:style>
  <w:style w:type="character" w:customStyle="1" w:styleId="s2">
    <w:name w:val="s2"/>
    <w:basedOn w:val="DefaultParagraphFont"/>
    <w:rsid w:val="00672D06"/>
    <w:rPr>
      <w:color w:val="FF0000"/>
    </w:rPr>
  </w:style>
  <w:style w:type="character" w:styleId="PageNumber">
    <w:name w:val="page number"/>
    <w:basedOn w:val="DefaultParagraphFont"/>
    <w:uiPriority w:val="99"/>
    <w:semiHidden/>
    <w:unhideWhenUsed/>
    <w:rsid w:val="00672D06"/>
  </w:style>
  <w:style w:type="character" w:styleId="CommentReference">
    <w:name w:val="annotation reference"/>
    <w:basedOn w:val="DefaultParagraphFont"/>
    <w:uiPriority w:val="99"/>
    <w:semiHidden/>
    <w:unhideWhenUsed/>
    <w:rsid w:val="00672D06"/>
    <w:rPr>
      <w:sz w:val="16"/>
      <w:szCs w:val="16"/>
    </w:rPr>
  </w:style>
  <w:style w:type="paragraph" w:styleId="CommentText">
    <w:name w:val="annotation text"/>
    <w:basedOn w:val="Normal"/>
    <w:link w:val="CommentTextChar"/>
    <w:uiPriority w:val="99"/>
    <w:unhideWhenUsed/>
    <w:rsid w:val="00672D06"/>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72D06"/>
    <w:rPr>
      <w:sz w:val="20"/>
      <w:szCs w:val="20"/>
    </w:rPr>
  </w:style>
  <w:style w:type="paragraph" w:styleId="CommentSubject">
    <w:name w:val="annotation subject"/>
    <w:basedOn w:val="CommentText"/>
    <w:next w:val="CommentText"/>
    <w:link w:val="CommentSubjectChar"/>
    <w:uiPriority w:val="99"/>
    <w:semiHidden/>
    <w:unhideWhenUsed/>
    <w:rsid w:val="00672D06"/>
    <w:rPr>
      <w:b/>
      <w:bCs/>
    </w:rPr>
  </w:style>
  <w:style w:type="character" w:customStyle="1" w:styleId="CommentSubjectChar">
    <w:name w:val="Comment Subject Char"/>
    <w:basedOn w:val="CommentTextChar"/>
    <w:link w:val="CommentSubject"/>
    <w:uiPriority w:val="99"/>
    <w:semiHidden/>
    <w:rsid w:val="00672D06"/>
    <w:rPr>
      <w:b/>
      <w:bCs/>
      <w:sz w:val="20"/>
      <w:szCs w:val="20"/>
    </w:rPr>
  </w:style>
  <w:style w:type="paragraph" w:styleId="BalloonText">
    <w:name w:val="Balloon Text"/>
    <w:basedOn w:val="Normal"/>
    <w:link w:val="BalloonTextChar"/>
    <w:uiPriority w:val="99"/>
    <w:semiHidden/>
    <w:unhideWhenUsed/>
    <w:rsid w:val="00672D06"/>
    <w:pPr>
      <w:spacing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72D06"/>
    <w:rPr>
      <w:rFonts w:ascii="Segoe UI" w:hAnsi="Segoe UI" w:cs="Segoe UI"/>
      <w:sz w:val="18"/>
      <w:szCs w:val="18"/>
    </w:rPr>
  </w:style>
  <w:style w:type="paragraph" w:styleId="ListParagraph">
    <w:name w:val="List Paragraph"/>
    <w:basedOn w:val="Normal"/>
    <w:uiPriority w:val="34"/>
    <w:qFormat/>
    <w:rsid w:val="00672D06"/>
    <w:pPr>
      <w:spacing w:line="240" w:lineRule="auto"/>
      <w:ind w:left="720"/>
      <w:contextualSpacing/>
    </w:pPr>
    <w:rPr>
      <w:rFonts w:asciiTheme="minorHAnsi" w:eastAsiaTheme="minorHAnsi" w:hAnsiTheme="minorHAnsi" w:cstheme="minorBidi"/>
      <w:szCs w:val="24"/>
    </w:rPr>
  </w:style>
  <w:style w:type="paragraph" w:styleId="FootnoteText">
    <w:name w:val="footnote text"/>
    <w:basedOn w:val="Normal"/>
    <w:link w:val="FootnoteTextChar"/>
    <w:uiPriority w:val="99"/>
    <w:semiHidden/>
    <w:unhideWhenUsed/>
    <w:rsid w:val="00672D06"/>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72D06"/>
    <w:rPr>
      <w:sz w:val="20"/>
      <w:szCs w:val="20"/>
    </w:rPr>
  </w:style>
  <w:style w:type="character" w:styleId="FootnoteReference">
    <w:name w:val="footnote reference"/>
    <w:basedOn w:val="DefaultParagraphFont"/>
    <w:uiPriority w:val="99"/>
    <w:semiHidden/>
    <w:unhideWhenUsed/>
    <w:rsid w:val="00672D06"/>
    <w:rPr>
      <w:vertAlign w:val="superscript"/>
    </w:rPr>
  </w:style>
  <w:style w:type="character" w:styleId="FollowedHyperlink">
    <w:name w:val="FollowedHyperlink"/>
    <w:basedOn w:val="DefaultParagraphFont"/>
    <w:uiPriority w:val="99"/>
    <w:semiHidden/>
    <w:unhideWhenUsed/>
    <w:rsid w:val="00672D06"/>
    <w:rPr>
      <w:color w:val="954F72" w:themeColor="followedHyperlink"/>
      <w:u w:val="single"/>
    </w:rPr>
  </w:style>
  <w:style w:type="paragraph" w:styleId="Revision">
    <w:name w:val="Revision"/>
    <w:hidden/>
    <w:uiPriority w:val="99"/>
    <w:semiHidden/>
    <w:rsid w:val="00672D06"/>
    <w:pPr>
      <w:spacing w:after="0" w:line="240" w:lineRule="auto"/>
    </w:pPr>
    <w:rPr>
      <w:sz w:val="24"/>
      <w:szCs w:val="24"/>
    </w:rPr>
  </w:style>
  <w:style w:type="character" w:customStyle="1" w:styleId="UnresolvedMention">
    <w:name w:val="Unresolved Mention"/>
    <w:basedOn w:val="DefaultParagraphFont"/>
    <w:uiPriority w:val="99"/>
    <w:semiHidden/>
    <w:unhideWhenUsed/>
    <w:rsid w:val="00672D06"/>
    <w:rPr>
      <w:color w:val="605E5C"/>
      <w:shd w:val="clear" w:color="auto" w:fill="E1DFDD"/>
    </w:rPr>
  </w:style>
  <w:style w:type="paragraph" w:styleId="TOCHeading">
    <w:name w:val="TOC Heading"/>
    <w:basedOn w:val="Heading1"/>
    <w:next w:val="Normal"/>
    <w:uiPriority w:val="39"/>
    <w:unhideWhenUsed/>
    <w:qFormat/>
    <w:rsid w:val="009F5011"/>
    <w:pPr>
      <w:spacing w:line="259" w:lineRule="auto"/>
      <w:outlineLvl w:val="9"/>
    </w:pPr>
    <w:rPr>
      <w:lang w:val="en-US"/>
    </w:rPr>
  </w:style>
  <w:style w:type="paragraph" w:styleId="TOC1">
    <w:name w:val="toc 1"/>
    <w:basedOn w:val="Normal"/>
    <w:next w:val="Normal"/>
    <w:autoRedefine/>
    <w:uiPriority w:val="39"/>
    <w:unhideWhenUsed/>
    <w:rsid w:val="009F5011"/>
    <w:pPr>
      <w:spacing w:after="100"/>
    </w:pPr>
  </w:style>
  <w:style w:type="paragraph" w:styleId="TOC3">
    <w:name w:val="toc 3"/>
    <w:basedOn w:val="Normal"/>
    <w:next w:val="Normal"/>
    <w:autoRedefine/>
    <w:uiPriority w:val="39"/>
    <w:unhideWhenUsed/>
    <w:rsid w:val="009F5011"/>
    <w:pPr>
      <w:spacing w:after="100"/>
      <w:ind w:left="480"/>
    </w:pPr>
  </w:style>
  <w:style w:type="paragraph" w:customStyle="1" w:styleId="Parasection">
    <w:name w:val="&gt; Para (section)"/>
    <w:basedOn w:val="Normal"/>
    <w:qFormat/>
    <w:rsid w:val="0047788F"/>
    <w:pPr>
      <w:spacing w:after="640" w:line="312" w:lineRule="auto"/>
    </w:pPr>
    <w:rPr>
      <w:szCs w:val="24"/>
    </w:rPr>
  </w:style>
  <w:style w:type="paragraph" w:customStyle="1" w:styleId="Parabase">
    <w:name w:val="&gt; Para (base)"/>
    <w:basedOn w:val="Normal"/>
    <w:qFormat/>
    <w:rsid w:val="0047788F"/>
    <w:pPr>
      <w:spacing w:after="120" w:line="312" w:lineRule="auto"/>
    </w:pPr>
    <w:rPr>
      <w:rFonts w:cs="Arial"/>
      <w:szCs w:val="24"/>
    </w:rPr>
  </w:style>
  <w:style w:type="paragraph" w:customStyle="1" w:styleId="L1Headers">
    <w:name w:val="&gt; L1 Headers"/>
    <w:basedOn w:val="Heading1"/>
    <w:qFormat/>
    <w:rsid w:val="0047788F"/>
    <w:pPr>
      <w:spacing w:before="0" w:after="1280" w:line="288" w:lineRule="auto"/>
      <w:ind w:left="851" w:hanging="851"/>
    </w:pPr>
    <w:rPr>
      <w:rFonts w:ascii="Georgia" w:eastAsia="Times New Roman" w:hAnsi="Georgia" w:cs="Times New Roman"/>
      <w:bCs/>
      <w:color w:val="auto"/>
      <w:sz w:val="56"/>
      <w:szCs w:val="56"/>
    </w:rPr>
  </w:style>
  <w:style w:type="paragraph" w:customStyle="1" w:styleId="Parass">
    <w:name w:val="&gt; Para (ss)"/>
    <w:basedOn w:val="Parasection"/>
    <w:qFormat/>
    <w:rsid w:val="0047788F"/>
    <w:pPr>
      <w:spacing w:after="360"/>
    </w:pPr>
  </w:style>
  <w:style w:type="table" w:styleId="TableGrid">
    <w:name w:val="Table Grid"/>
    <w:basedOn w:val="TableNormal"/>
    <w:uiPriority w:val="39"/>
    <w:rsid w:val="00651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image" Target="media/image10.png"/><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7.png"/><Relationship Id="rId42" Type="http://schemas.openxmlformats.org/officeDocument/2006/relationships/header" Target="header9.xml"/><Relationship Id="rId47" Type="http://schemas.openxmlformats.org/officeDocument/2006/relationships/hyperlink" Target="http://www.equalityadvisoryservice.co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gov.uk/government/statistics/legal-aid-statistics-july-to-september-2018" TargetMode="External"/><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header" Target="header6.xml"/><Relationship Id="rId46" Type="http://schemas.openxmlformats.org/officeDocument/2006/relationships/hyperlink" Target="https://www.equalityhumanrights.com/en/newsletter-sign"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image" Target="media/image13.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header" Target="header5.xml"/><Relationship Id="rId37" Type="http://schemas.openxmlformats.org/officeDocument/2006/relationships/image" Target="media/image20.png"/><Relationship Id="rId40" Type="http://schemas.openxmlformats.org/officeDocument/2006/relationships/header" Target="header8.xml"/><Relationship Id="rId45" Type="http://schemas.openxmlformats.org/officeDocument/2006/relationships/hyperlink" Target="mailto:correspondence@equalityhumanrights.co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image" Target="media/image15.png"/><Relationship Id="rId44" Type="http://schemas.openxmlformats.org/officeDocument/2006/relationships/hyperlink" Target="mailto:correspondence@equalityhumanright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hyperlink" Target="http://www.equalityhumanrights.com" TargetMode="External"/><Relationship Id="rId48" Type="http://schemas.openxmlformats.org/officeDocument/2006/relationships/header" Target="header10.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statistics/legal-aid-statistics-july-to-september-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AB57D-C9B3-4FB4-A35F-FA8C6DABD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3575</Words>
  <Characters>18700</Characters>
  <Application>Microsoft Office Word</Application>
  <DocSecurity>0</DocSecurity>
  <Lines>352</Lines>
  <Paragraphs>142</Paragraphs>
  <ScaleCrop>false</ScaleCrop>
  <HeadingPairs>
    <vt:vector size="2" baseType="variant">
      <vt:variant>
        <vt:lpstr>Title</vt:lpstr>
      </vt:variant>
      <vt:variant>
        <vt:i4>1</vt:i4>
      </vt:variant>
    </vt:vector>
  </HeadingPairs>
  <TitlesOfParts>
    <vt:vector size="1" baseType="lpstr">
      <vt:lpstr/>
    </vt:vector>
  </TitlesOfParts>
  <Company>EHRC</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Grant</dc:creator>
  <cp:keywords/>
  <dc:description/>
  <cp:lastModifiedBy>Helen Saxton</cp:lastModifiedBy>
  <cp:revision>14</cp:revision>
  <dcterms:created xsi:type="dcterms:W3CDTF">2019-06-18T07:24:00Z</dcterms:created>
  <dcterms:modified xsi:type="dcterms:W3CDTF">2019-06-18T23:25:00Z</dcterms:modified>
</cp:coreProperties>
</file>