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7540478" w:displacedByCustomXml="next"/>
    <w:bookmarkStart w:id="1" w:name="_Toc94003010" w:displacedByCustomXml="next"/>
    <w:bookmarkStart w:id="2"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bookmarkEnd w:id="0" w:displacedByCustomXml="prev"/>
        <w:p w:rsidR="00B4728E" w:rsidRDefault="00B4728E" w:rsidP="00B4728E">
          <w:pPr>
            <w:pStyle w:val="level1title"/>
            <w:rPr>
              <w:b w:val="0"/>
              <w:szCs w:val="24"/>
            </w:rPr>
          </w:pPr>
          <w:r w:rsidRPr="00B4728E">
            <w:t>Minutes of Day 2 of the 99th meeting of the Board of the EHRC</w:t>
          </w:r>
          <w:bookmarkEnd w:id="1"/>
        </w:p>
        <w:p w:rsidR="00B218B9" w:rsidRPr="00B218B9" w:rsidRDefault="00B4728E" w:rsidP="00B218B9">
          <w:pPr>
            <w:rPr>
              <w:b/>
              <w:szCs w:val="24"/>
            </w:rPr>
          </w:pPr>
          <w:r>
            <w:rPr>
              <w:b/>
              <w:szCs w:val="24"/>
            </w:rPr>
            <w:t>01 December</w:t>
          </w:r>
          <w:r w:rsidR="00B218B9" w:rsidRPr="00B218B9">
            <w:rPr>
              <w:b/>
              <w:szCs w:val="24"/>
            </w:rPr>
            <w:t xml:space="preserve"> 2021 (</w:t>
          </w:r>
          <w:r>
            <w:rPr>
              <w:b/>
              <w:szCs w:val="24"/>
            </w:rPr>
            <w:t>13:30-17</w:t>
          </w:r>
          <w:r w:rsidR="00B218B9" w:rsidRPr="00B218B9">
            <w:rPr>
              <w:b/>
              <w:szCs w:val="24"/>
            </w:rPr>
            <w:t xml:space="preserve">:00) </w:t>
          </w:r>
        </w:p>
        <w:p w:rsidR="00DD3D0F" w:rsidRPr="00DD3D0F" w:rsidRDefault="00B4728E" w:rsidP="00B218B9">
          <w:r>
            <w:rPr>
              <w:b/>
              <w:szCs w:val="24"/>
            </w:rPr>
            <w:t>Windsor House</w:t>
          </w:r>
          <w:r w:rsidR="00B218B9" w:rsidRPr="00B218B9">
            <w:rPr>
              <w:b/>
              <w:szCs w:val="24"/>
            </w:rPr>
            <w:t>, Westminster, London</w:t>
          </w:r>
        </w:p>
        <w:bookmarkEnd w:id="2" w:displacedByCustomXml="next"/>
      </w:sdtContent>
    </w:sdt>
    <w:bookmarkStart w:id="3" w:name="_Toc532893248" w:displacedByCustomXml="prev"/>
    <w:p w:rsidR="00B218B9" w:rsidRDefault="00B218B9">
      <w:pPr>
        <w:spacing w:after="160" w:line="259" w:lineRule="auto"/>
        <w:rPr>
          <w:rFonts w:eastAsia="Times New Roman"/>
          <w:b/>
          <w:bCs/>
          <w:sz w:val="28"/>
          <w:szCs w:val="26"/>
        </w:rPr>
      </w:pPr>
    </w:p>
    <w:sdt>
      <w:sdtPr>
        <w:rPr>
          <w:rFonts w:ascii="Arial" w:eastAsia="Calibri" w:hAnsi="Arial" w:cs="Times New Roman"/>
          <w:color w:val="auto"/>
          <w:sz w:val="24"/>
          <w:szCs w:val="22"/>
          <w:lang w:val="en-GB"/>
        </w:rPr>
        <w:id w:val="1796641957"/>
        <w:docPartObj>
          <w:docPartGallery w:val="Table of Contents"/>
          <w:docPartUnique/>
        </w:docPartObj>
      </w:sdtPr>
      <w:sdtEndPr>
        <w:rPr>
          <w:b/>
          <w:bCs/>
          <w:noProof/>
        </w:rPr>
      </w:sdtEndPr>
      <w:sdtContent>
        <w:p w:rsidR="006C59A5" w:rsidRPr="006C59A5" w:rsidRDefault="00F95175" w:rsidP="006C59A5">
          <w:pPr>
            <w:pStyle w:val="TOCHeading"/>
            <w:rPr>
              <w:rFonts w:ascii="Arial" w:hAnsi="Arial" w:cs="Arial"/>
              <w:color w:val="auto"/>
            </w:rPr>
          </w:pPr>
          <w:r w:rsidRPr="00F95175">
            <w:rPr>
              <w:rFonts w:ascii="Arial" w:hAnsi="Arial" w:cs="Arial"/>
              <w:color w:val="auto"/>
            </w:rPr>
            <w:t>Contents</w:t>
          </w:r>
        </w:p>
        <w:p w:rsidR="00B4728E" w:rsidRDefault="00F95175" w:rsidP="00AC1512">
          <w:pPr>
            <w:pStyle w:val="TOC1"/>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94003010" w:history="1"/>
        </w:p>
        <w:p w:rsidR="00B4728E" w:rsidRDefault="00BA471A">
          <w:pPr>
            <w:pStyle w:val="TOC2"/>
            <w:tabs>
              <w:tab w:val="right" w:leader="dot" w:pos="9016"/>
            </w:tabs>
            <w:rPr>
              <w:rFonts w:asciiTheme="minorHAnsi" w:eastAsiaTheme="minorEastAsia" w:hAnsiTheme="minorHAnsi" w:cstheme="minorBidi"/>
              <w:noProof/>
              <w:sz w:val="22"/>
              <w:lang w:eastAsia="en-GB"/>
            </w:rPr>
          </w:pPr>
          <w:hyperlink w:anchor="_Toc94003011" w:history="1">
            <w:r w:rsidR="00B4728E" w:rsidRPr="00836D98">
              <w:rPr>
                <w:rStyle w:val="Hyperlink"/>
                <w:noProof/>
              </w:rPr>
              <w:t>Attending</w:t>
            </w:r>
            <w:r w:rsidR="00B4728E">
              <w:rPr>
                <w:noProof/>
                <w:webHidden/>
              </w:rPr>
              <w:tab/>
            </w:r>
            <w:r w:rsidR="00B4728E">
              <w:rPr>
                <w:noProof/>
                <w:webHidden/>
              </w:rPr>
              <w:fldChar w:fldCharType="begin"/>
            </w:r>
            <w:r w:rsidR="00B4728E">
              <w:rPr>
                <w:noProof/>
                <w:webHidden/>
              </w:rPr>
              <w:instrText xml:space="preserve"> PAGEREF _Toc94003011 \h </w:instrText>
            </w:r>
            <w:r w:rsidR="00B4728E">
              <w:rPr>
                <w:noProof/>
                <w:webHidden/>
              </w:rPr>
            </w:r>
            <w:r w:rsidR="00B4728E">
              <w:rPr>
                <w:noProof/>
                <w:webHidden/>
              </w:rPr>
              <w:fldChar w:fldCharType="separate"/>
            </w:r>
            <w:r w:rsidR="00B4728E">
              <w:rPr>
                <w:noProof/>
                <w:webHidden/>
              </w:rPr>
              <w:t>2</w:t>
            </w:r>
            <w:r w:rsidR="00B4728E">
              <w:rPr>
                <w:noProof/>
                <w:webHidden/>
              </w:rPr>
              <w:fldChar w:fldCharType="end"/>
            </w:r>
          </w:hyperlink>
        </w:p>
        <w:p w:rsidR="00B4728E" w:rsidRDefault="00BA471A">
          <w:pPr>
            <w:pStyle w:val="TOC3"/>
            <w:tabs>
              <w:tab w:val="right" w:leader="dot" w:pos="9016"/>
            </w:tabs>
            <w:rPr>
              <w:rFonts w:asciiTheme="minorHAnsi" w:eastAsiaTheme="minorEastAsia" w:hAnsiTheme="minorHAnsi" w:cstheme="minorBidi"/>
              <w:noProof/>
              <w:sz w:val="22"/>
              <w:lang w:eastAsia="en-GB"/>
            </w:rPr>
          </w:pPr>
          <w:hyperlink w:anchor="_Toc94003012" w:history="1">
            <w:r w:rsidR="00B4728E" w:rsidRPr="00836D98">
              <w:rPr>
                <w:rStyle w:val="Hyperlink"/>
                <w:noProof/>
              </w:rPr>
              <w:t>Commissioners</w:t>
            </w:r>
            <w:r w:rsidR="00B4728E">
              <w:rPr>
                <w:noProof/>
                <w:webHidden/>
              </w:rPr>
              <w:tab/>
            </w:r>
            <w:r w:rsidR="00B4728E">
              <w:rPr>
                <w:noProof/>
                <w:webHidden/>
              </w:rPr>
              <w:fldChar w:fldCharType="begin"/>
            </w:r>
            <w:r w:rsidR="00B4728E">
              <w:rPr>
                <w:noProof/>
                <w:webHidden/>
              </w:rPr>
              <w:instrText xml:space="preserve"> PAGEREF _Toc94003012 \h </w:instrText>
            </w:r>
            <w:r w:rsidR="00B4728E">
              <w:rPr>
                <w:noProof/>
                <w:webHidden/>
              </w:rPr>
            </w:r>
            <w:r w:rsidR="00B4728E">
              <w:rPr>
                <w:noProof/>
                <w:webHidden/>
              </w:rPr>
              <w:fldChar w:fldCharType="separate"/>
            </w:r>
            <w:r w:rsidR="00B4728E">
              <w:rPr>
                <w:noProof/>
                <w:webHidden/>
              </w:rPr>
              <w:t>2</w:t>
            </w:r>
            <w:r w:rsidR="00B4728E">
              <w:rPr>
                <w:noProof/>
                <w:webHidden/>
              </w:rPr>
              <w:fldChar w:fldCharType="end"/>
            </w:r>
          </w:hyperlink>
        </w:p>
        <w:p w:rsidR="00B4728E" w:rsidRDefault="00BA471A">
          <w:pPr>
            <w:pStyle w:val="TOC3"/>
            <w:tabs>
              <w:tab w:val="right" w:leader="dot" w:pos="9016"/>
            </w:tabs>
            <w:rPr>
              <w:rFonts w:asciiTheme="minorHAnsi" w:eastAsiaTheme="minorEastAsia" w:hAnsiTheme="minorHAnsi" w:cstheme="minorBidi"/>
              <w:noProof/>
              <w:sz w:val="22"/>
              <w:lang w:eastAsia="en-GB"/>
            </w:rPr>
          </w:pPr>
          <w:hyperlink w:anchor="_Toc94003013" w:history="1">
            <w:r w:rsidR="00B4728E" w:rsidRPr="00836D98">
              <w:rPr>
                <w:rStyle w:val="Hyperlink"/>
                <w:noProof/>
              </w:rPr>
              <w:t>Officers</w:t>
            </w:r>
            <w:r w:rsidR="00B4728E">
              <w:rPr>
                <w:noProof/>
                <w:webHidden/>
              </w:rPr>
              <w:tab/>
            </w:r>
            <w:r w:rsidR="00B4728E">
              <w:rPr>
                <w:noProof/>
                <w:webHidden/>
              </w:rPr>
              <w:fldChar w:fldCharType="begin"/>
            </w:r>
            <w:r w:rsidR="00B4728E">
              <w:rPr>
                <w:noProof/>
                <w:webHidden/>
              </w:rPr>
              <w:instrText xml:space="preserve"> PAGEREF _Toc94003013 \h </w:instrText>
            </w:r>
            <w:r w:rsidR="00B4728E">
              <w:rPr>
                <w:noProof/>
                <w:webHidden/>
              </w:rPr>
            </w:r>
            <w:r w:rsidR="00B4728E">
              <w:rPr>
                <w:noProof/>
                <w:webHidden/>
              </w:rPr>
              <w:fldChar w:fldCharType="separate"/>
            </w:r>
            <w:r w:rsidR="00B4728E">
              <w:rPr>
                <w:noProof/>
                <w:webHidden/>
              </w:rPr>
              <w:t>2</w:t>
            </w:r>
            <w:r w:rsidR="00B4728E">
              <w:rPr>
                <w:noProof/>
                <w:webHidden/>
              </w:rPr>
              <w:fldChar w:fldCharType="end"/>
            </w:r>
          </w:hyperlink>
        </w:p>
        <w:p w:rsidR="00B4728E" w:rsidRDefault="00BA471A">
          <w:pPr>
            <w:pStyle w:val="TOC3"/>
            <w:tabs>
              <w:tab w:val="right" w:leader="dot" w:pos="9016"/>
            </w:tabs>
            <w:rPr>
              <w:rFonts w:asciiTheme="minorHAnsi" w:eastAsiaTheme="minorEastAsia" w:hAnsiTheme="minorHAnsi" w:cstheme="minorBidi"/>
              <w:noProof/>
              <w:sz w:val="22"/>
              <w:lang w:eastAsia="en-GB"/>
            </w:rPr>
          </w:pPr>
          <w:hyperlink w:anchor="_Toc94003014" w:history="1">
            <w:r w:rsidR="00B4728E" w:rsidRPr="00836D98">
              <w:rPr>
                <w:rStyle w:val="Hyperlink"/>
                <w:noProof/>
              </w:rPr>
              <w:t>Guests</w:t>
            </w:r>
            <w:r w:rsidR="00B4728E">
              <w:rPr>
                <w:noProof/>
                <w:webHidden/>
              </w:rPr>
              <w:tab/>
            </w:r>
            <w:r w:rsidR="00B4728E">
              <w:rPr>
                <w:noProof/>
                <w:webHidden/>
              </w:rPr>
              <w:fldChar w:fldCharType="begin"/>
            </w:r>
            <w:r w:rsidR="00B4728E">
              <w:rPr>
                <w:noProof/>
                <w:webHidden/>
              </w:rPr>
              <w:instrText xml:space="preserve"> PAGEREF _Toc94003014 \h </w:instrText>
            </w:r>
            <w:r w:rsidR="00B4728E">
              <w:rPr>
                <w:noProof/>
                <w:webHidden/>
              </w:rPr>
            </w:r>
            <w:r w:rsidR="00B4728E">
              <w:rPr>
                <w:noProof/>
                <w:webHidden/>
              </w:rPr>
              <w:fldChar w:fldCharType="separate"/>
            </w:r>
            <w:r w:rsidR="00B4728E">
              <w:rPr>
                <w:noProof/>
                <w:webHidden/>
              </w:rPr>
              <w:t>2</w:t>
            </w:r>
            <w:r w:rsidR="00B4728E">
              <w:rPr>
                <w:noProof/>
                <w:webHidden/>
              </w:rPr>
              <w:fldChar w:fldCharType="end"/>
            </w:r>
          </w:hyperlink>
        </w:p>
        <w:p w:rsidR="00B4728E" w:rsidRDefault="00BA471A">
          <w:pPr>
            <w:pStyle w:val="TOC2"/>
            <w:tabs>
              <w:tab w:val="right" w:leader="dot" w:pos="9016"/>
            </w:tabs>
            <w:rPr>
              <w:rFonts w:asciiTheme="minorHAnsi" w:eastAsiaTheme="minorEastAsia" w:hAnsiTheme="minorHAnsi" w:cstheme="minorBidi"/>
              <w:noProof/>
              <w:sz w:val="22"/>
              <w:lang w:eastAsia="en-GB"/>
            </w:rPr>
          </w:pPr>
          <w:hyperlink w:anchor="_Toc94003015" w:history="1">
            <w:r w:rsidR="00B4728E" w:rsidRPr="00836D98">
              <w:rPr>
                <w:rStyle w:val="Hyperlink"/>
                <w:noProof/>
              </w:rPr>
              <w:t>Minutes</w:t>
            </w:r>
            <w:r w:rsidR="00B4728E">
              <w:rPr>
                <w:noProof/>
                <w:webHidden/>
              </w:rPr>
              <w:tab/>
            </w:r>
            <w:r w:rsidR="00B4728E">
              <w:rPr>
                <w:noProof/>
                <w:webHidden/>
              </w:rPr>
              <w:fldChar w:fldCharType="begin"/>
            </w:r>
            <w:r w:rsidR="00B4728E">
              <w:rPr>
                <w:noProof/>
                <w:webHidden/>
              </w:rPr>
              <w:instrText xml:space="preserve"> PAGEREF _Toc94003015 \h </w:instrText>
            </w:r>
            <w:r w:rsidR="00B4728E">
              <w:rPr>
                <w:noProof/>
                <w:webHidden/>
              </w:rPr>
            </w:r>
            <w:r w:rsidR="00B4728E">
              <w:rPr>
                <w:noProof/>
                <w:webHidden/>
              </w:rPr>
              <w:fldChar w:fldCharType="separate"/>
            </w:r>
            <w:r w:rsidR="00B4728E">
              <w:rPr>
                <w:noProof/>
                <w:webHidden/>
              </w:rPr>
              <w:t>3</w:t>
            </w:r>
            <w:r w:rsidR="00B4728E">
              <w:rPr>
                <w:noProof/>
                <w:webHidden/>
              </w:rPr>
              <w:fldChar w:fldCharType="end"/>
            </w:r>
          </w:hyperlink>
        </w:p>
        <w:p w:rsidR="00B4728E" w:rsidRDefault="00BA471A">
          <w:pPr>
            <w:pStyle w:val="TOC3"/>
            <w:tabs>
              <w:tab w:val="left" w:pos="1100"/>
              <w:tab w:val="right" w:leader="dot" w:pos="9016"/>
            </w:tabs>
            <w:rPr>
              <w:rFonts w:asciiTheme="minorHAnsi" w:eastAsiaTheme="minorEastAsia" w:hAnsiTheme="minorHAnsi" w:cstheme="minorBidi"/>
              <w:noProof/>
              <w:sz w:val="22"/>
              <w:lang w:eastAsia="en-GB"/>
            </w:rPr>
          </w:pPr>
          <w:hyperlink w:anchor="_Toc94003016" w:history="1">
            <w:r w:rsidR="00B4728E" w:rsidRPr="00836D98">
              <w:rPr>
                <w:rStyle w:val="Hyperlink"/>
                <w:noProof/>
              </w:rPr>
              <w:t>1.</w:t>
            </w:r>
            <w:r w:rsidR="00B4728E">
              <w:rPr>
                <w:rFonts w:asciiTheme="minorHAnsi" w:eastAsiaTheme="minorEastAsia" w:hAnsiTheme="minorHAnsi" w:cstheme="minorBidi"/>
                <w:noProof/>
                <w:sz w:val="22"/>
                <w:lang w:eastAsia="en-GB"/>
              </w:rPr>
              <w:tab/>
            </w:r>
            <w:r w:rsidR="00B4728E" w:rsidRPr="00836D98">
              <w:rPr>
                <w:rStyle w:val="Hyperlink"/>
                <w:noProof/>
              </w:rPr>
              <w:t>Chairwoman’s introduction</w:t>
            </w:r>
            <w:r w:rsidR="00B4728E">
              <w:rPr>
                <w:noProof/>
                <w:webHidden/>
              </w:rPr>
              <w:tab/>
            </w:r>
            <w:r w:rsidR="00B4728E">
              <w:rPr>
                <w:noProof/>
                <w:webHidden/>
              </w:rPr>
              <w:fldChar w:fldCharType="begin"/>
            </w:r>
            <w:r w:rsidR="00B4728E">
              <w:rPr>
                <w:noProof/>
                <w:webHidden/>
              </w:rPr>
              <w:instrText xml:space="preserve"> PAGEREF _Toc94003016 \h </w:instrText>
            </w:r>
            <w:r w:rsidR="00B4728E">
              <w:rPr>
                <w:noProof/>
                <w:webHidden/>
              </w:rPr>
            </w:r>
            <w:r w:rsidR="00B4728E">
              <w:rPr>
                <w:noProof/>
                <w:webHidden/>
              </w:rPr>
              <w:fldChar w:fldCharType="separate"/>
            </w:r>
            <w:r w:rsidR="00B4728E">
              <w:rPr>
                <w:noProof/>
                <w:webHidden/>
              </w:rPr>
              <w:t>3</w:t>
            </w:r>
            <w:r w:rsidR="00B4728E">
              <w:rPr>
                <w:noProof/>
                <w:webHidden/>
              </w:rPr>
              <w:fldChar w:fldCharType="end"/>
            </w:r>
          </w:hyperlink>
        </w:p>
        <w:p w:rsidR="00B4728E" w:rsidRDefault="00BA471A">
          <w:pPr>
            <w:pStyle w:val="TOC3"/>
            <w:tabs>
              <w:tab w:val="left" w:pos="1100"/>
              <w:tab w:val="right" w:leader="dot" w:pos="9016"/>
            </w:tabs>
            <w:rPr>
              <w:rFonts w:asciiTheme="minorHAnsi" w:eastAsiaTheme="minorEastAsia" w:hAnsiTheme="minorHAnsi" w:cstheme="minorBidi"/>
              <w:noProof/>
              <w:sz w:val="22"/>
              <w:lang w:eastAsia="en-GB"/>
            </w:rPr>
          </w:pPr>
          <w:hyperlink w:anchor="_Toc94003017" w:history="1">
            <w:r w:rsidR="00B4728E" w:rsidRPr="00836D98">
              <w:rPr>
                <w:rStyle w:val="Hyperlink"/>
                <w:noProof/>
                <w:lang w:eastAsia="en-GB"/>
              </w:rPr>
              <w:t>2.</w:t>
            </w:r>
            <w:r w:rsidR="00B4728E">
              <w:rPr>
                <w:rFonts w:asciiTheme="minorHAnsi" w:eastAsiaTheme="minorEastAsia" w:hAnsiTheme="minorHAnsi" w:cstheme="minorBidi"/>
                <w:noProof/>
                <w:sz w:val="22"/>
                <w:lang w:eastAsia="en-GB"/>
              </w:rPr>
              <w:tab/>
            </w:r>
            <w:r w:rsidR="00B4728E" w:rsidRPr="00836D98">
              <w:rPr>
                <w:rStyle w:val="Hyperlink"/>
                <w:noProof/>
                <w:lang w:eastAsia="en-GB"/>
              </w:rPr>
              <w:t>Apologies for absence</w:t>
            </w:r>
            <w:r w:rsidR="00B4728E">
              <w:rPr>
                <w:noProof/>
                <w:webHidden/>
              </w:rPr>
              <w:tab/>
            </w:r>
            <w:r w:rsidR="00B4728E">
              <w:rPr>
                <w:noProof/>
                <w:webHidden/>
              </w:rPr>
              <w:fldChar w:fldCharType="begin"/>
            </w:r>
            <w:r w:rsidR="00B4728E">
              <w:rPr>
                <w:noProof/>
                <w:webHidden/>
              </w:rPr>
              <w:instrText xml:space="preserve"> PAGEREF _Toc94003017 \h </w:instrText>
            </w:r>
            <w:r w:rsidR="00B4728E">
              <w:rPr>
                <w:noProof/>
                <w:webHidden/>
              </w:rPr>
            </w:r>
            <w:r w:rsidR="00B4728E">
              <w:rPr>
                <w:noProof/>
                <w:webHidden/>
              </w:rPr>
              <w:fldChar w:fldCharType="separate"/>
            </w:r>
            <w:r w:rsidR="00B4728E">
              <w:rPr>
                <w:noProof/>
                <w:webHidden/>
              </w:rPr>
              <w:t>3</w:t>
            </w:r>
            <w:r w:rsidR="00B4728E">
              <w:rPr>
                <w:noProof/>
                <w:webHidden/>
              </w:rPr>
              <w:fldChar w:fldCharType="end"/>
            </w:r>
          </w:hyperlink>
        </w:p>
        <w:p w:rsidR="00B4728E" w:rsidRDefault="00BA471A">
          <w:pPr>
            <w:pStyle w:val="TOC3"/>
            <w:tabs>
              <w:tab w:val="left" w:pos="1100"/>
              <w:tab w:val="right" w:leader="dot" w:pos="9016"/>
            </w:tabs>
            <w:rPr>
              <w:rFonts w:asciiTheme="minorHAnsi" w:eastAsiaTheme="minorEastAsia" w:hAnsiTheme="minorHAnsi" w:cstheme="minorBidi"/>
              <w:noProof/>
              <w:sz w:val="22"/>
              <w:lang w:eastAsia="en-GB"/>
            </w:rPr>
          </w:pPr>
          <w:hyperlink w:anchor="_Toc94003018" w:history="1">
            <w:r w:rsidR="00B4728E" w:rsidRPr="00836D98">
              <w:rPr>
                <w:rStyle w:val="Hyperlink"/>
                <w:noProof/>
              </w:rPr>
              <w:t>3.</w:t>
            </w:r>
            <w:r w:rsidR="00B4728E">
              <w:rPr>
                <w:rFonts w:asciiTheme="minorHAnsi" w:eastAsiaTheme="minorEastAsia" w:hAnsiTheme="minorHAnsi" w:cstheme="minorBidi"/>
                <w:noProof/>
                <w:sz w:val="22"/>
                <w:lang w:eastAsia="en-GB"/>
              </w:rPr>
              <w:tab/>
            </w:r>
            <w:r w:rsidR="00B4728E" w:rsidRPr="00836D98">
              <w:rPr>
                <w:rStyle w:val="Hyperlink"/>
                <w:noProof/>
              </w:rPr>
              <w:t>Declarations of interest</w:t>
            </w:r>
            <w:r w:rsidR="00B4728E">
              <w:rPr>
                <w:noProof/>
                <w:webHidden/>
              </w:rPr>
              <w:tab/>
            </w:r>
            <w:r w:rsidR="00B4728E">
              <w:rPr>
                <w:noProof/>
                <w:webHidden/>
              </w:rPr>
              <w:fldChar w:fldCharType="begin"/>
            </w:r>
            <w:r w:rsidR="00B4728E">
              <w:rPr>
                <w:noProof/>
                <w:webHidden/>
              </w:rPr>
              <w:instrText xml:space="preserve"> PAGEREF _Toc94003018 \h </w:instrText>
            </w:r>
            <w:r w:rsidR="00B4728E">
              <w:rPr>
                <w:noProof/>
                <w:webHidden/>
              </w:rPr>
            </w:r>
            <w:r w:rsidR="00B4728E">
              <w:rPr>
                <w:noProof/>
                <w:webHidden/>
              </w:rPr>
              <w:fldChar w:fldCharType="separate"/>
            </w:r>
            <w:r w:rsidR="00B4728E">
              <w:rPr>
                <w:noProof/>
                <w:webHidden/>
              </w:rPr>
              <w:t>3</w:t>
            </w:r>
            <w:r w:rsidR="00B4728E">
              <w:rPr>
                <w:noProof/>
                <w:webHidden/>
              </w:rPr>
              <w:fldChar w:fldCharType="end"/>
            </w:r>
          </w:hyperlink>
        </w:p>
        <w:p w:rsidR="00B4728E" w:rsidRDefault="00BA471A">
          <w:pPr>
            <w:pStyle w:val="TOC3"/>
            <w:tabs>
              <w:tab w:val="left" w:pos="1100"/>
              <w:tab w:val="right" w:leader="dot" w:pos="9016"/>
            </w:tabs>
            <w:rPr>
              <w:rFonts w:asciiTheme="minorHAnsi" w:eastAsiaTheme="minorEastAsia" w:hAnsiTheme="minorHAnsi" w:cstheme="minorBidi"/>
              <w:noProof/>
              <w:sz w:val="22"/>
              <w:lang w:eastAsia="en-GB"/>
            </w:rPr>
          </w:pPr>
          <w:hyperlink w:anchor="_Toc94003019" w:history="1">
            <w:r w:rsidR="00B4728E" w:rsidRPr="00836D98">
              <w:rPr>
                <w:rStyle w:val="Hyperlink"/>
                <w:noProof/>
              </w:rPr>
              <w:t>5.</w:t>
            </w:r>
            <w:r w:rsidR="00B4728E">
              <w:rPr>
                <w:rFonts w:asciiTheme="minorHAnsi" w:eastAsiaTheme="minorEastAsia" w:hAnsiTheme="minorHAnsi" w:cstheme="minorBidi"/>
                <w:noProof/>
                <w:sz w:val="22"/>
                <w:lang w:eastAsia="en-GB"/>
              </w:rPr>
              <w:tab/>
            </w:r>
            <w:r w:rsidR="00B4728E" w:rsidRPr="00836D98">
              <w:rPr>
                <w:rStyle w:val="Hyperlink"/>
                <w:noProof/>
              </w:rPr>
              <w:t>EHRC and the protected characteristic of gender reassignment</w:t>
            </w:r>
            <w:r w:rsidR="00B4728E">
              <w:rPr>
                <w:noProof/>
                <w:webHidden/>
              </w:rPr>
              <w:tab/>
            </w:r>
            <w:r w:rsidR="00B4728E">
              <w:rPr>
                <w:noProof/>
                <w:webHidden/>
              </w:rPr>
              <w:fldChar w:fldCharType="begin"/>
            </w:r>
            <w:r w:rsidR="00B4728E">
              <w:rPr>
                <w:noProof/>
                <w:webHidden/>
              </w:rPr>
              <w:instrText xml:space="preserve"> PAGEREF _Toc94003019 \h </w:instrText>
            </w:r>
            <w:r w:rsidR="00B4728E">
              <w:rPr>
                <w:noProof/>
                <w:webHidden/>
              </w:rPr>
            </w:r>
            <w:r w:rsidR="00B4728E">
              <w:rPr>
                <w:noProof/>
                <w:webHidden/>
              </w:rPr>
              <w:fldChar w:fldCharType="separate"/>
            </w:r>
            <w:r w:rsidR="00B4728E">
              <w:rPr>
                <w:noProof/>
                <w:webHidden/>
              </w:rPr>
              <w:t>3</w:t>
            </w:r>
            <w:r w:rsidR="00B4728E">
              <w:rPr>
                <w:noProof/>
                <w:webHidden/>
              </w:rPr>
              <w:fldChar w:fldCharType="end"/>
            </w:r>
          </w:hyperlink>
        </w:p>
        <w:p w:rsidR="00B4728E" w:rsidRDefault="00BA471A">
          <w:pPr>
            <w:pStyle w:val="TOC3"/>
            <w:tabs>
              <w:tab w:val="left" w:pos="1100"/>
              <w:tab w:val="right" w:leader="dot" w:pos="9016"/>
            </w:tabs>
            <w:rPr>
              <w:rFonts w:asciiTheme="minorHAnsi" w:eastAsiaTheme="minorEastAsia" w:hAnsiTheme="minorHAnsi" w:cstheme="minorBidi"/>
              <w:noProof/>
              <w:sz w:val="22"/>
              <w:lang w:eastAsia="en-GB"/>
            </w:rPr>
          </w:pPr>
          <w:hyperlink w:anchor="_Toc94003020" w:history="1">
            <w:r w:rsidR="00B4728E" w:rsidRPr="00836D98">
              <w:rPr>
                <w:rStyle w:val="Hyperlink"/>
                <w:noProof/>
              </w:rPr>
              <w:t>6.</w:t>
            </w:r>
            <w:r w:rsidR="00B4728E">
              <w:rPr>
                <w:rFonts w:asciiTheme="minorHAnsi" w:eastAsiaTheme="minorEastAsia" w:hAnsiTheme="minorHAnsi" w:cstheme="minorBidi"/>
                <w:noProof/>
                <w:sz w:val="22"/>
                <w:lang w:eastAsia="en-GB"/>
              </w:rPr>
              <w:tab/>
            </w:r>
            <w:r w:rsidR="00B4728E" w:rsidRPr="00836D98">
              <w:rPr>
                <w:rStyle w:val="Hyperlink"/>
                <w:noProof/>
              </w:rPr>
              <w:t>EHRC Strategy 22-25 consultation feedback and next steps</w:t>
            </w:r>
            <w:r w:rsidR="00B4728E">
              <w:rPr>
                <w:noProof/>
                <w:webHidden/>
              </w:rPr>
              <w:tab/>
            </w:r>
            <w:r w:rsidR="00B4728E">
              <w:rPr>
                <w:noProof/>
                <w:webHidden/>
              </w:rPr>
              <w:fldChar w:fldCharType="begin"/>
            </w:r>
            <w:r w:rsidR="00B4728E">
              <w:rPr>
                <w:noProof/>
                <w:webHidden/>
              </w:rPr>
              <w:instrText xml:space="preserve"> PAGEREF _Toc94003020 \h </w:instrText>
            </w:r>
            <w:r w:rsidR="00B4728E">
              <w:rPr>
                <w:noProof/>
                <w:webHidden/>
              </w:rPr>
            </w:r>
            <w:r w:rsidR="00B4728E">
              <w:rPr>
                <w:noProof/>
                <w:webHidden/>
              </w:rPr>
              <w:fldChar w:fldCharType="separate"/>
            </w:r>
            <w:r w:rsidR="00B4728E">
              <w:rPr>
                <w:noProof/>
                <w:webHidden/>
              </w:rPr>
              <w:t>4</w:t>
            </w:r>
            <w:r w:rsidR="00B4728E">
              <w:rPr>
                <w:noProof/>
                <w:webHidden/>
              </w:rPr>
              <w:fldChar w:fldCharType="end"/>
            </w:r>
          </w:hyperlink>
        </w:p>
        <w:p w:rsidR="00B4728E" w:rsidRDefault="00BA471A">
          <w:pPr>
            <w:pStyle w:val="TOC3"/>
            <w:tabs>
              <w:tab w:val="left" w:pos="1100"/>
              <w:tab w:val="right" w:leader="dot" w:pos="9016"/>
            </w:tabs>
            <w:rPr>
              <w:rFonts w:asciiTheme="minorHAnsi" w:eastAsiaTheme="minorEastAsia" w:hAnsiTheme="minorHAnsi" w:cstheme="minorBidi"/>
              <w:noProof/>
              <w:sz w:val="22"/>
              <w:lang w:eastAsia="en-GB"/>
            </w:rPr>
          </w:pPr>
          <w:hyperlink w:anchor="_Toc94003021" w:history="1">
            <w:r w:rsidR="00B4728E" w:rsidRPr="00836D98">
              <w:rPr>
                <w:rStyle w:val="Hyperlink"/>
                <w:noProof/>
              </w:rPr>
              <w:t>7.</w:t>
            </w:r>
            <w:r w:rsidR="00B4728E">
              <w:rPr>
                <w:rFonts w:asciiTheme="minorHAnsi" w:eastAsiaTheme="minorEastAsia" w:hAnsiTheme="minorHAnsi" w:cstheme="minorBidi"/>
                <w:noProof/>
                <w:sz w:val="22"/>
                <w:lang w:eastAsia="en-GB"/>
              </w:rPr>
              <w:tab/>
            </w:r>
            <w:r w:rsidR="00B4728E" w:rsidRPr="00836D98">
              <w:rPr>
                <w:rStyle w:val="Hyperlink"/>
                <w:noProof/>
              </w:rPr>
              <w:t>Framework for delivery in 22-23</w:t>
            </w:r>
            <w:r w:rsidR="00B4728E">
              <w:rPr>
                <w:noProof/>
                <w:webHidden/>
              </w:rPr>
              <w:tab/>
            </w:r>
            <w:r w:rsidR="00B4728E">
              <w:rPr>
                <w:noProof/>
                <w:webHidden/>
              </w:rPr>
              <w:fldChar w:fldCharType="begin"/>
            </w:r>
            <w:r w:rsidR="00B4728E">
              <w:rPr>
                <w:noProof/>
                <w:webHidden/>
              </w:rPr>
              <w:instrText xml:space="preserve"> PAGEREF _Toc94003021 \h </w:instrText>
            </w:r>
            <w:r w:rsidR="00B4728E">
              <w:rPr>
                <w:noProof/>
                <w:webHidden/>
              </w:rPr>
            </w:r>
            <w:r w:rsidR="00B4728E">
              <w:rPr>
                <w:noProof/>
                <w:webHidden/>
              </w:rPr>
              <w:fldChar w:fldCharType="separate"/>
            </w:r>
            <w:r w:rsidR="00B4728E">
              <w:rPr>
                <w:noProof/>
                <w:webHidden/>
              </w:rPr>
              <w:t>4</w:t>
            </w:r>
            <w:r w:rsidR="00B4728E">
              <w:rPr>
                <w:noProof/>
                <w:webHidden/>
              </w:rPr>
              <w:fldChar w:fldCharType="end"/>
            </w:r>
          </w:hyperlink>
        </w:p>
        <w:p w:rsidR="00B4728E" w:rsidRDefault="00BA471A">
          <w:pPr>
            <w:pStyle w:val="TOC3"/>
            <w:tabs>
              <w:tab w:val="left" w:pos="1100"/>
              <w:tab w:val="right" w:leader="dot" w:pos="9016"/>
            </w:tabs>
            <w:rPr>
              <w:rFonts w:asciiTheme="minorHAnsi" w:eastAsiaTheme="minorEastAsia" w:hAnsiTheme="minorHAnsi" w:cstheme="minorBidi"/>
              <w:noProof/>
              <w:sz w:val="22"/>
              <w:lang w:eastAsia="en-GB"/>
            </w:rPr>
          </w:pPr>
          <w:hyperlink w:anchor="_Toc94003022" w:history="1">
            <w:r w:rsidR="00B4728E" w:rsidRPr="00836D98">
              <w:rPr>
                <w:rStyle w:val="Hyperlink"/>
                <w:noProof/>
              </w:rPr>
              <w:t>8.</w:t>
            </w:r>
            <w:r w:rsidR="00B4728E">
              <w:rPr>
                <w:rFonts w:asciiTheme="minorHAnsi" w:eastAsiaTheme="minorEastAsia" w:hAnsiTheme="minorHAnsi" w:cstheme="minorBidi"/>
                <w:noProof/>
                <w:sz w:val="22"/>
                <w:lang w:eastAsia="en-GB"/>
              </w:rPr>
              <w:tab/>
            </w:r>
            <w:r w:rsidR="00B4728E" w:rsidRPr="00836D98">
              <w:rPr>
                <w:rStyle w:val="Hyperlink"/>
                <w:noProof/>
              </w:rPr>
              <w:t xml:space="preserve">Updates and assurance from Committees and Commissioner Working </w:t>
            </w:r>
            <w:r w:rsidR="00AC1512">
              <w:rPr>
                <w:rStyle w:val="Hyperlink"/>
                <w:noProof/>
              </w:rPr>
              <w:t xml:space="preserve">       </w:t>
            </w:r>
            <w:r w:rsidR="00B4728E" w:rsidRPr="00836D98">
              <w:rPr>
                <w:rStyle w:val="Hyperlink"/>
                <w:noProof/>
              </w:rPr>
              <w:t>Groups</w:t>
            </w:r>
            <w:r w:rsidR="00B4728E">
              <w:rPr>
                <w:noProof/>
                <w:webHidden/>
              </w:rPr>
              <w:tab/>
            </w:r>
            <w:r w:rsidR="00B4728E">
              <w:rPr>
                <w:noProof/>
                <w:webHidden/>
              </w:rPr>
              <w:fldChar w:fldCharType="begin"/>
            </w:r>
            <w:r w:rsidR="00B4728E">
              <w:rPr>
                <w:noProof/>
                <w:webHidden/>
              </w:rPr>
              <w:instrText xml:space="preserve"> PAGEREF _Toc94003022 \h </w:instrText>
            </w:r>
            <w:r w:rsidR="00B4728E">
              <w:rPr>
                <w:noProof/>
                <w:webHidden/>
              </w:rPr>
            </w:r>
            <w:r w:rsidR="00B4728E">
              <w:rPr>
                <w:noProof/>
                <w:webHidden/>
              </w:rPr>
              <w:fldChar w:fldCharType="separate"/>
            </w:r>
            <w:r w:rsidR="00B4728E">
              <w:rPr>
                <w:noProof/>
                <w:webHidden/>
              </w:rPr>
              <w:t>5</w:t>
            </w:r>
            <w:r w:rsidR="00B4728E">
              <w:rPr>
                <w:noProof/>
                <w:webHidden/>
              </w:rPr>
              <w:fldChar w:fldCharType="end"/>
            </w:r>
          </w:hyperlink>
        </w:p>
        <w:p w:rsidR="00B4728E" w:rsidRDefault="00BA471A" w:rsidP="00AC1512">
          <w:pPr>
            <w:pStyle w:val="TOC1"/>
            <w:rPr>
              <w:rFonts w:asciiTheme="minorHAnsi" w:eastAsiaTheme="minorEastAsia" w:hAnsiTheme="minorHAnsi" w:cstheme="minorBidi"/>
              <w:noProof/>
              <w:sz w:val="22"/>
              <w:lang w:eastAsia="en-GB"/>
            </w:rPr>
          </w:pPr>
          <w:hyperlink w:anchor="_Toc94003023" w:history="1">
            <w:r w:rsidR="00B4728E" w:rsidRPr="00B4728E">
              <w:rPr>
                <w:rStyle w:val="Hyperlink"/>
                <w:rFonts w:eastAsia="Times New Roman" w:cs="Arial"/>
                <w:bCs/>
                <w:noProof/>
              </w:rPr>
              <w:t>9.</w:t>
            </w:r>
            <w:r w:rsidR="00AC1512">
              <w:rPr>
                <w:rFonts w:asciiTheme="minorHAnsi" w:eastAsiaTheme="minorEastAsia" w:hAnsiTheme="minorHAnsi" w:cstheme="minorBidi"/>
                <w:noProof/>
                <w:sz w:val="22"/>
                <w:lang w:eastAsia="en-GB"/>
              </w:rPr>
              <w:t xml:space="preserve">          </w:t>
            </w:r>
            <w:r w:rsidR="00B4728E" w:rsidRPr="00B4728E">
              <w:rPr>
                <w:rStyle w:val="Hyperlink"/>
                <w:rFonts w:eastAsia="Times New Roman" w:cs="Arial"/>
                <w:bCs/>
                <w:noProof/>
              </w:rPr>
              <w:t>Any other business</w:t>
            </w:r>
            <w:r w:rsidR="00B4728E">
              <w:rPr>
                <w:noProof/>
                <w:webHidden/>
              </w:rPr>
              <w:tab/>
            </w:r>
            <w:r w:rsidR="00B4728E">
              <w:rPr>
                <w:noProof/>
                <w:webHidden/>
              </w:rPr>
              <w:fldChar w:fldCharType="begin"/>
            </w:r>
            <w:r w:rsidR="00B4728E">
              <w:rPr>
                <w:noProof/>
                <w:webHidden/>
              </w:rPr>
              <w:instrText xml:space="preserve"> PAGEREF _Toc94003023 \h </w:instrText>
            </w:r>
            <w:r w:rsidR="00B4728E">
              <w:rPr>
                <w:noProof/>
                <w:webHidden/>
              </w:rPr>
            </w:r>
            <w:r w:rsidR="00B4728E">
              <w:rPr>
                <w:noProof/>
                <w:webHidden/>
              </w:rPr>
              <w:fldChar w:fldCharType="separate"/>
            </w:r>
            <w:r w:rsidR="00B4728E">
              <w:rPr>
                <w:noProof/>
                <w:webHidden/>
              </w:rPr>
              <w:t>6</w:t>
            </w:r>
            <w:r w:rsidR="00B4728E">
              <w:rPr>
                <w:noProof/>
                <w:webHidden/>
              </w:rPr>
              <w:fldChar w:fldCharType="end"/>
            </w:r>
          </w:hyperlink>
        </w:p>
        <w:p w:rsidR="00F95175" w:rsidRDefault="00F95175">
          <w:r>
            <w:rPr>
              <w:b/>
              <w:bCs/>
              <w:noProof/>
            </w:rPr>
            <w:fldChar w:fldCharType="end"/>
          </w:r>
        </w:p>
      </w:sdtContent>
    </w:sdt>
    <w:p w:rsidR="00B218B9" w:rsidRDefault="00B218B9">
      <w:pPr>
        <w:spacing w:after="160" w:line="259" w:lineRule="auto"/>
        <w:rPr>
          <w:rFonts w:eastAsia="Times New Roman"/>
          <w:b/>
          <w:bCs/>
          <w:sz w:val="28"/>
          <w:szCs w:val="26"/>
        </w:rPr>
      </w:pPr>
      <w:r>
        <w:br w:type="page"/>
      </w:r>
    </w:p>
    <w:p w:rsidR="002C1949" w:rsidRPr="00DD3D0F" w:rsidRDefault="00B218B9" w:rsidP="00534703">
      <w:pPr>
        <w:pStyle w:val="level2section"/>
      </w:pPr>
      <w:bookmarkStart w:id="4" w:name="_Toc94003011"/>
      <w:bookmarkEnd w:id="3"/>
      <w:r>
        <w:lastRenderedPageBreak/>
        <w:t>Attending</w:t>
      </w:r>
      <w:bookmarkEnd w:id="4"/>
    </w:p>
    <w:p w:rsidR="00B218B9" w:rsidRPr="00B218B9" w:rsidRDefault="00B218B9" w:rsidP="00B218B9">
      <w:pPr>
        <w:pStyle w:val="Heading3"/>
      </w:pPr>
      <w:bookmarkStart w:id="5" w:name="_Toc94003012"/>
      <w:bookmarkStart w:id="6" w:name="_Toc532893250"/>
      <w:r w:rsidRPr="00B218B9">
        <w:t>Commissioners</w:t>
      </w:r>
      <w:bookmarkEnd w:id="5"/>
    </w:p>
    <w:p w:rsidR="00B218B9" w:rsidRDefault="00B4728E" w:rsidP="00B218B9">
      <w:r w:rsidRPr="00B4728E">
        <w:t>Baroness Kishwer Falkner (Chairwoman); Caroline Waters (Deputy Chair); Suzanne Baxter; Jessica Butcher; David Goodhart; Susan Johnson; Helen Mahy; Alasdair Henderson, Mark McLane; Dr Lesley Sawers; and Su-Mei Thompson.</w:t>
      </w:r>
    </w:p>
    <w:p w:rsidR="00B4728E" w:rsidRPr="00B218B9" w:rsidRDefault="00B4728E" w:rsidP="00B218B9"/>
    <w:p w:rsidR="00B218B9" w:rsidRPr="00B218B9" w:rsidRDefault="00B218B9" w:rsidP="00B218B9">
      <w:pPr>
        <w:pStyle w:val="Heading3"/>
      </w:pPr>
      <w:bookmarkStart w:id="7" w:name="_Toc94003013"/>
      <w:r w:rsidRPr="00B218B9">
        <w:t>Officers</w:t>
      </w:r>
      <w:bookmarkEnd w:id="7"/>
    </w:p>
    <w:p w:rsidR="00B4728E" w:rsidRDefault="00B4728E" w:rsidP="00B4728E">
      <w:r>
        <w:t>Marcial Boo, Chief Executive Officer</w:t>
      </w:r>
    </w:p>
    <w:p w:rsidR="00B4728E" w:rsidRDefault="00B4728E" w:rsidP="00B4728E">
      <w:r>
        <w:t>Ben Coates, Chief of Staff</w:t>
      </w:r>
    </w:p>
    <w:p w:rsidR="00B4728E" w:rsidRDefault="00B4728E" w:rsidP="00B4728E">
      <w:r>
        <w:t>Cath Denholm, Chief Operating Officer</w:t>
      </w:r>
    </w:p>
    <w:p w:rsidR="00B4728E" w:rsidRDefault="00B4728E" w:rsidP="00B4728E">
      <w:r>
        <w:t>Naomi Fawcitt, Senior Associate to the Chief Executive Officer</w:t>
      </w:r>
    </w:p>
    <w:p w:rsidR="00B4728E" w:rsidRDefault="00B4728E" w:rsidP="00B4728E">
      <w:r>
        <w:t>Melanie Field, Chief Strategy and Policy Officer</w:t>
      </w:r>
    </w:p>
    <w:p w:rsidR="00B4728E" w:rsidRDefault="00B4728E" w:rsidP="00B4728E">
      <w:r>
        <w:t>Jackie Killeen, Director of Regulation</w:t>
      </w:r>
    </w:p>
    <w:p w:rsidR="00B4728E" w:rsidRDefault="00B4728E" w:rsidP="00B4728E">
      <w:r>
        <w:t>Alix Luddington, Senior Associate to the Chair</w:t>
      </w:r>
    </w:p>
    <w:p w:rsidR="00B4728E" w:rsidRDefault="00B4728E" w:rsidP="00B4728E">
      <w:r>
        <w:t>Alasdair MacDonald, Director of Policy (item 5)</w:t>
      </w:r>
    </w:p>
    <w:p w:rsidR="00B218B9" w:rsidRDefault="00B4728E" w:rsidP="00B4728E">
      <w:r>
        <w:t>Bill Malloy, Director of Finance, Procurement, Planning, Performance &amp; Governance</w:t>
      </w:r>
    </w:p>
    <w:p w:rsidR="00B4728E" w:rsidRPr="00B218B9" w:rsidRDefault="00B4728E" w:rsidP="00B4728E"/>
    <w:p w:rsidR="00B218B9" w:rsidRPr="00B218B9" w:rsidRDefault="00B218B9" w:rsidP="00B218B9">
      <w:pPr>
        <w:pStyle w:val="Heading3"/>
      </w:pPr>
      <w:bookmarkStart w:id="8" w:name="_Toc94003014"/>
      <w:r w:rsidRPr="00B218B9">
        <w:t>Guests</w:t>
      </w:r>
      <w:bookmarkEnd w:id="8"/>
    </w:p>
    <w:p w:rsidR="00B4728E" w:rsidRDefault="00B4728E" w:rsidP="00B4728E">
      <w:r>
        <w:t>Martyn Jones, Interim Chair - EHRC Wales Committee</w:t>
      </w:r>
    </w:p>
    <w:p w:rsidR="00B218B9" w:rsidRDefault="00B4728E" w:rsidP="00B4728E">
      <w:r>
        <w:t>Oliver Ely – Government Equalities Office (GEO)</w:t>
      </w:r>
    </w:p>
    <w:p w:rsidR="00B4728E" w:rsidRPr="00B218B9" w:rsidRDefault="00B4728E" w:rsidP="00B4728E"/>
    <w:p w:rsidR="004B0BB6" w:rsidRPr="00DD3D0F" w:rsidRDefault="004B0BB6" w:rsidP="004B0BB6">
      <w:pPr>
        <w:rPr>
          <w:rFonts w:cs="Arial"/>
          <w:noProof/>
          <w:szCs w:val="24"/>
          <w:lang w:eastAsia="en-GB"/>
        </w:rPr>
      </w:pPr>
    </w:p>
    <w:p w:rsidR="00B218B9" w:rsidRDefault="00B218B9">
      <w:pPr>
        <w:spacing w:after="160" w:line="259" w:lineRule="auto"/>
        <w:rPr>
          <w:rFonts w:eastAsia="Times New Roman"/>
          <w:b/>
          <w:bCs/>
          <w:sz w:val="28"/>
          <w:szCs w:val="26"/>
        </w:rPr>
      </w:pPr>
      <w:r>
        <w:br w:type="page"/>
      </w:r>
    </w:p>
    <w:p w:rsidR="000775A5" w:rsidRPr="00DD3D0F" w:rsidRDefault="00125423" w:rsidP="00534703">
      <w:pPr>
        <w:pStyle w:val="level2section"/>
        <w:rPr>
          <w:rFonts w:cs="Arial"/>
          <w:sz w:val="32"/>
          <w:szCs w:val="32"/>
        </w:rPr>
      </w:pPr>
      <w:bookmarkStart w:id="9" w:name="_Toc94003015"/>
      <w:r>
        <w:lastRenderedPageBreak/>
        <w:t>Minutes</w:t>
      </w:r>
      <w:bookmarkEnd w:id="9"/>
    </w:p>
    <w:p w:rsidR="00B218B9" w:rsidRPr="00B218B9" w:rsidRDefault="00B218B9" w:rsidP="00125423">
      <w:pPr>
        <w:pStyle w:val="Heading3"/>
      </w:pPr>
      <w:bookmarkStart w:id="10" w:name="_Toc94003016"/>
      <w:r w:rsidRPr="00B218B9">
        <w:t>1.</w:t>
      </w:r>
      <w:r w:rsidRPr="00B218B9">
        <w:tab/>
        <w:t>Chairwoman’s introduction</w:t>
      </w:r>
      <w:bookmarkEnd w:id="10"/>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1.1</w:t>
      </w:r>
      <w:r w:rsidRPr="00B218B9">
        <w:rPr>
          <w:rFonts w:cs="Arial"/>
          <w:szCs w:val="24"/>
        </w:rPr>
        <w:tab/>
      </w:r>
      <w:r w:rsidR="00B4728E" w:rsidRPr="00B4728E">
        <w:rPr>
          <w:rFonts w:cs="Arial"/>
          <w:szCs w:val="24"/>
        </w:rPr>
        <w:t>The Chairwoman welcomed attendees. She thanked Susan Johnson, who would be stepping down from the Board in January, for her important contribution to the Board, not least as Chair of the Audit and Risk Committee since June 2016. Susan Johnson expressed her gratitude to Commissioners and staff for their kind messages and wished the Commission well.</w:t>
      </w:r>
    </w:p>
    <w:p w:rsidR="00B218B9" w:rsidRPr="00B218B9" w:rsidRDefault="00B218B9" w:rsidP="00B218B9">
      <w:pPr>
        <w:spacing w:line="240" w:lineRule="auto"/>
        <w:rPr>
          <w:rFonts w:cs="Arial"/>
          <w:color w:val="1F497D"/>
          <w:szCs w:val="24"/>
        </w:rPr>
      </w:pPr>
    </w:p>
    <w:p w:rsidR="00B218B9" w:rsidRPr="00B218B9" w:rsidRDefault="00B218B9" w:rsidP="00125423">
      <w:pPr>
        <w:pStyle w:val="Heading3"/>
        <w:rPr>
          <w:rFonts w:eastAsia="Times New Roman"/>
          <w:bCs/>
          <w:lang w:eastAsia="en-GB"/>
        </w:rPr>
      </w:pPr>
      <w:bookmarkStart w:id="11" w:name="_Toc94003017"/>
      <w:r w:rsidRPr="00B218B9">
        <w:rPr>
          <w:lang w:eastAsia="en-GB"/>
        </w:rPr>
        <w:t>2.</w:t>
      </w:r>
      <w:r w:rsidRPr="00B218B9">
        <w:rPr>
          <w:lang w:eastAsia="en-GB"/>
        </w:rPr>
        <w:tab/>
        <w:t>Apologies for absence</w:t>
      </w:r>
      <w:bookmarkEnd w:id="11"/>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iCs/>
          <w:szCs w:val="24"/>
          <w:lang w:eastAsia="en-GB"/>
        </w:rPr>
      </w:pPr>
      <w:r w:rsidRPr="00B218B9">
        <w:rPr>
          <w:rFonts w:cs="Arial"/>
          <w:szCs w:val="24"/>
        </w:rPr>
        <w:t>2.1</w:t>
      </w:r>
      <w:r w:rsidRPr="00B218B9">
        <w:rPr>
          <w:rFonts w:cs="Arial"/>
          <w:szCs w:val="24"/>
        </w:rPr>
        <w:tab/>
      </w:r>
      <w:r w:rsidR="00B4728E" w:rsidRPr="00B4728E">
        <w:rPr>
          <w:rFonts w:cs="Arial"/>
          <w:szCs w:val="24"/>
        </w:rPr>
        <w:t>Apologies received from Pavita Cooper.</w:t>
      </w:r>
    </w:p>
    <w:p w:rsidR="00B218B9" w:rsidRPr="00B218B9" w:rsidRDefault="00B218B9" w:rsidP="00B218B9">
      <w:pPr>
        <w:spacing w:line="240" w:lineRule="auto"/>
        <w:ind w:left="1800" w:hanging="720"/>
        <w:rPr>
          <w:rFonts w:cs="Arial"/>
          <w:iCs/>
          <w:szCs w:val="24"/>
          <w:lang w:eastAsia="en-GB"/>
        </w:rPr>
      </w:pPr>
    </w:p>
    <w:p w:rsidR="00B218B9" w:rsidRPr="00B218B9" w:rsidRDefault="00B218B9" w:rsidP="00125423">
      <w:pPr>
        <w:pStyle w:val="Heading3"/>
      </w:pPr>
      <w:bookmarkStart w:id="12" w:name="_Toc94003018"/>
      <w:r w:rsidRPr="00B218B9">
        <w:t>3.</w:t>
      </w:r>
      <w:r w:rsidRPr="00B218B9">
        <w:tab/>
        <w:t>Declarations of interest</w:t>
      </w:r>
      <w:bookmarkEnd w:id="12"/>
      <w:r w:rsidRPr="00B218B9">
        <w:t xml:space="preserve"> </w:t>
      </w:r>
    </w:p>
    <w:p w:rsidR="00B218B9" w:rsidRPr="00B218B9" w:rsidRDefault="00B218B9" w:rsidP="00B218B9">
      <w:pPr>
        <w:spacing w:line="240" w:lineRule="auto"/>
        <w:rPr>
          <w:rFonts w:cs="Arial"/>
          <w:szCs w:val="24"/>
        </w:rPr>
      </w:pPr>
    </w:p>
    <w:p w:rsidR="00B218B9" w:rsidRDefault="00B218B9" w:rsidP="00B4728E">
      <w:pPr>
        <w:spacing w:line="240" w:lineRule="auto"/>
        <w:ind w:left="720" w:hanging="720"/>
        <w:rPr>
          <w:rFonts w:cs="Arial"/>
          <w:szCs w:val="24"/>
        </w:rPr>
      </w:pPr>
      <w:r w:rsidRPr="00B218B9">
        <w:rPr>
          <w:rFonts w:cs="Arial"/>
          <w:szCs w:val="24"/>
        </w:rPr>
        <w:t>3.1</w:t>
      </w:r>
      <w:r w:rsidRPr="00B218B9">
        <w:rPr>
          <w:rFonts w:cs="Arial"/>
          <w:szCs w:val="24"/>
        </w:rPr>
        <w:tab/>
      </w:r>
      <w:r w:rsidR="00B4728E" w:rsidRPr="00B4728E">
        <w:rPr>
          <w:rFonts w:cs="Arial"/>
          <w:szCs w:val="24"/>
        </w:rPr>
        <w:t>No new declarations were made</w:t>
      </w:r>
    </w:p>
    <w:p w:rsidR="00B4728E" w:rsidRDefault="00B4728E" w:rsidP="00B4728E">
      <w:pPr>
        <w:spacing w:line="240" w:lineRule="auto"/>
        <w:rPr>
          <w:rFonts w:cstheme="majorBidi"/>
          <w:b/>
          <w:szCs w:val="24"/>
        </w:rPr>
      </w:pPr>
    </w:p>
    <w:p w:rsidR="00B4728E" w:rsidRPr="00B4728E" w:rsidRDefault="00B4728E" w:rsidP="00B4728E">
      <w:pPr>
        <w:spacing w:line="240" w:lineRule="auto"/>
        <w:rPr>
          <w:rFonts w:cstheme="majorBidi"/>
          <w:b/>
          <w:szCs w:val="24"/>
        </w:rPr>
      </w:pPr>
      <w:r w:rsidRPr="00B4728E">
        <w:rPr>
          <w:rFonts w:cstheme="majorBidi"/>
          <w:b/>
          <w:szCs w:val="24"/>
        </w:rPr>
        <w:t>4.</w:t>
      </w:r>
      <w:r w:rsidRPr="00B4728E">
        <w:rPr>
          <w:rFonts w:cstheme="majorBidi"/>
          <w:b/>
          <w:szCs w:val="24"/>
        </w:rPr>
        <w:tab/>
        <w:t>Chairwoman’s update</w:t>
      </w:r>
    </w:p>
    <w:p w:rsidR="00B4728E" w:rsidRPr="00B4728E" w:rsidRDefault="00B4728E" w:rsidP="00B4728E">
      <w:pPr>
        <w:spacing w:line="240" w:lineRule="auto"/>
        <w:ind w:left="1077" w:hanging="720"/>
        <w:rPr>
          <w:rFonts w:cstheme="majorBidi"/>
          <w:b/>
          <w:szCs w:val="24"/>
        </w:rPr>
      </w:pPr>
    </w:p>
    <w:p w:rsidR="00B218B9" w:rsidRDefault="00B4728E" w:rsidP="00B4728E">
      <w:pPr>
        <w:spacing w:line="240" w:lineRule="auto"/>
        <w:ind w:left="717" w:hanging="717"/>
        <w:rPr>
          <w:rFonts w:cstheme="majorBidi"/>
          <w:b/>
          <w:szCs w:val="24"/>
        </w:rPr>
      </w:pPr>
      <w:r w:rsidRPr="00B4728E">
        <w:rPr>
          <w:rFonts w:cstheme="majorBidi"/>
          <w:b/>
          <w:szCs w:val="24"/>
        </w:rPr>
        <w:t>4.1</w:t>
      </w:r>
      <w:r w:rsidRPr="00B4728E">
        <w:rPr>
          <w:rFonts w:cstheme="majorBidi"/>
          <w:b/>
          <w:szCs w:val="24"/>
        </w:rPr>
        <w:tab/>
      </w:r>
      <w:r w:rsidRPr="00B4728E">
        <w:rPr>
          <w:rFonts w:cstheme="majorBidi"/>
          <w:szCs w:val="24"/>
        </w:rPr>
        <w:t>The Chairwoman advised members that she would be making a personal contribution to the ‘Freedom of speech: challenges and the role of public, private and civil society sectors in upholding rights’ debate on 10 December at the House of Lords.</w:t>
      </w:r>
    </w:p>
    <w:p w:rsidR="00B218B9" w:rsidRPr="00B218B9" w:rsidRDefault="00B218B9" w:rsidP="00B218B9">
      <w:pPr>
        <w:spacing w:line="240" w:lineRule="auto"/>
        <w:contextualSpacing/>
        <w:rPr>
          <w:rFonts w:cs="Arial"/>
          <w:szCs w:val="24"/>
        </w:rPr>
      </w:pPr>
    </w:p>
    <w:p w:rsidR="00B218B9" w:rsidRPr="00B218B9" w:rsidRDefault="00B218B9" w:rsidP="00125423">
      <w:pPr>
        <w:pStyle w:val="Heading3"/>
      </w:pPr>
      <w:bookmarkStart w:id="13" w:name="_Toc94003019"/>
      <w:r w:rsidRPr="00B218B9">
        <w:t>5.</w:t>
      </w:r>
      <w:r w:rsidRPr="00B218B9">
        <w:tab/>
      </w:r>
      <w:r w:rsidR="00B4728E" w:rsidRPr="00B4728E">
        <w:t>EHRC and the protected characteristic of gender reassignment</w:t>
      </w:r>
      <w:bookmarkEnd w:id="13"/>
    </w:p>
    <w:p w:rsidR="00B218B9" w:rsidRPr="00B218B9" w:rsidRDefault="00B218B9" w:rsidP="00B218B9">
      <w:pPr>
        <w:spacing w:line="240" w:lineRule="auto"/>
        <w:rPr>
          <w:rFonts w:cs="Arial"/>
          <w:szCs w:val="24"/>
        </w:rPr>
      </w:pPr>
    </w:p>
    <w:p w:rsidR="00B4728E" w:rsidRPr="00477D07" w:rsidRDefault="00B4728E" w:rsidP="00B4728E">
      <w:pPr>
        <w:spacing w:line="240" w:lineRule="auto"/>
        <w:ind w:left="720" w:hanging="720"/>
        <w:rPr>
          <w:rFonts w:cs="Arial"/>
          <w:szCs w:val="24"/>
        </w:rPr>
      </w:pPr>
      <w:r w:rsidRPr="00477D07">
        <w:rPr>
          <w:rFonts w:cs="Arial"/>
          <w:szCs w:val="24"/>
        </w:rPr>
        <w:t>5.1     </w:t>
      </w:r>
      <w:r w:rsidRPr="00477D07">
        <w:rPr>
          <w:rFonts w:cs="Arial"/>
          <w:color w:val="FF0000"/>
          <w:szCs w:val="24"/>
        </w:rPr>
        <w:t xml:space="preserve"> </w:t>
      </w:r>
      <w:r w:rsidRPr="00477D07">
        <w:rPr>
          <w:rFonts w:cs="Arial"/>
          <w:szCs w:val="24"/>
        </w:rPr>
        <w:t>The Board considered a range of issues on the subject of gender reassignment, including conversion therapy, single-sex services and spaces, and protecting and promoting the rights of transgender people and others.</w:t>
      </w:r>
    </w:p>
    <w:p w:rsidR="00B4728E" w:rsidRPr="00477D07" w:rsidRDefault="00B4728E" w:rsidP="00B4728E">
      <w:pPr>
        <w:spacing w:line="240" w:lineRule="auto"/>
        <w:rPr>
          <w:rFonts w:cs="Arial"/>
          <w:szCs w:val="24"/>
        </w:rPr>
      </w:pPr>
    </w:p>
    <w:p w:rsidR="00B4728E" w:rsidRPr="00477D07" w:rsidRDefault="00B4728E" w:rsidP="00B4728E">
      <w:pPr>
        <w:spacing w:line="240" w:lineRule="auto"/>
        <w:ind w:left="720" w:hanging="720"/>
        <w:rPr>
          <w:rFonts w:cs="Arial"/>
          <w:szCs w:val="24"/>
        </w:rPr>
      </w:pPr>
      <w:r w:rsidRPr="00477D07">
        <w:rPr>
          <w:rFonts w:cs="Arial"/>
          <w:szCs w:val="24"/>
        </w:rPr>
        <w:t xml:space="preserve">5.2      Members recognised the complexity and sensitivity of the subject, welcoming the opportunity to discuss the issues and to offer their advice and a steer on next steps. The Board recognised the many challenges that transgender people face. Members acknowledged the divisive nature of public discourse, the cross over with freedom of expression and the need for the Commission to play a confident and neutral convening role. </w:t>
      </w:r>
    </w:p>
    <w:p w:rsidR="00B4728E" w:rsidRPr="00477D07" w:rsidRDefault="00B4728E" w:rsidP="00B4728E">
      <w:pPr>
        <w:spacing w:line="240" w:lineRule="auto"/>
        <w:ind w:left="720" w:hanging="720"/>
        <w:rPr>
          <w:rFonts w:cs="Arial"/>
          <w:szCs w:val="24"/>
        </w:rPr>
      </w:pPr>
    </w:p>
    <w:p w:rsidR="00B4728E" w:rsidRPr="00477D07" w:rsidRDefault="00B4728E" w:rsidP="00B4728E">
      <w:pPr>
        <w:spacing w:line="240" w:lineRule="auto"/>
        <w:ind w:left="720" w:hanging="720"/>
        <w:rPr>
          <w:rFonts w:cs="Arial"/>
          <w:szCs w:val="24"/>
        </w:rPr>
      </w:pPr>
      <w:r w:rsidRPr="00477D07">
        <w:rPr>
          <w:rFonts w:cs="Arial"/>
          <w:szCs w:val="24"/>
        </w:rPr>
        <w:t xml:space="preserve">5.3      The Board agreed to support the separate positions agreed by the legislatures in Scotland, </w:t>
      </w:r>
      <w:r w:rsidRPr="009474DF">
        <w:rPr>
          <w:rFonts w:cs="Arial"/>
          <w:szCs w:val="24"/>
        </w:rPr>
        <w:t>England &amp; Wales regarding spousal consent. The Board endorsed the Commission’s current position as established after the High Court ruling on the</w:t>
      </w:r>
      <w:r>
        <w:rPr>
          <w:rFonts w:cs="Arial"/>
          <w:szCs w:val="24"/>
        </w:rPr>
        <w:t xml:space="preserve"> 9</w:t>
      </w:r>
      <w:r w:rsidRPr="000E40CE">
        <w:rPr>
          <w:rFonts w:cs="Arial"/>
          <w:szCs w:val="24"/>
          <w:vertAlign w:val="superscript"/>
        </w:rPr>
        <w:t>th</w:t>
      </w:r>
      <w:r>
        <w:rPr>
          <w:rFonts w:cs="Arial"/>
          <w:szCs w:val="24"/>
        </w:rPr>
        <w:t xml:space="preserve"> </w:t>
      </w:r>
      <w:r w:rsidRPr="000E40CE">
        <w:rPr>
          <w:rFonts w:cs="Arial"/>
          <w:szCs w:val="24"/>
        </w:rPr>
        <w:t>March 2021 census, to uphold</w:t>
      </w:r>
      <w:r w:rsidRPr="009474DF">
        <w:rPr>
          <w:rFonts w:cs="Arial"/>
          <w:szCs w:val="24"/>
        </w:rPr>
        <w:t xml:space="preserve"> data veracity on sex and to include data on gender as and where applicable</w:t>
      </w:r>
      <w:r>
        <w:rPr>
          <w:rFonts w:cs="Arial"/>
          <w:szCs w:val="24"/>
        </w:rPr>
        <w:t xml:space="preserve"> </w:t>
      </w:r>
      <w:r w:rsidRPr="00477D07">
        <w:rPr>
          <w:rFonts w:cs="Arial"/>
          <w:szCs w:val="24"/>
        </w:rPr>
        <w:t xml:space="preserve">on the collection of data on both sex and gender. </w:t>
      </w:r>
    </w:p>
    <w:p w:rsidR="00B4728E" w:rsidRPr="00477D07" w:rsidRDefault="00B4728E" w:rsidP="00B4728E">
      <w:pPr>
        <w:spacing w:line="240" w:lineRule="auto"/>
        <w:ind w:left="720" w:hanging="720"/>
        <w:rPr>
          <w:rFonts w:cs="Arial"/>
          <w:szCs w:val="24"/>
        </w:rPr>
      </w:pPr>
    </w:p>
    <w:p w:rsidR="00B4728E" w:rsidRPr="00477D07" w:rsidRDefault="00B4728E" w:rsidP="00B4728E">
      <w:pPr>
        <w:spacing w:line="240" w:lineRule="auto"/>
        <w:ind w:left="720" w:hanging="720"/>
        <w:rPr>
          <w:rFonts w:cs="Arial"/>
          <w:szCs w:val="24"/>
        </w:rPr>
      </w:pPr>
      <w:r w:rsidRPr="00477D07">
        <w:rPr>
          <w:rFonts w:cs="Arial"/>
          <w:szCs w:val="24"/>
        </w:rPr>
        <w:t xml:space="preserve">5.4      The Board also agreed to argue to government for quicker access to improved services to support transgender people but not to press for </w:t>
      </w:r>
      <w:r>
        <w:rPr>
          <w:rFonts w:cs="Arial"/>
          <w:szCs w:val="24"/>
        </w:rPr>
        <w:t>other changes to the Gender Recognition</w:t>
      </w:r>
      <w:r w:rsidRPr="00477D07">
        <w:rPr>
          <w:rFonts w:cs="Arial"/>
          <w:szCs w:val="24"/>
        </w:rPr>
        <w:t xml:space="preserve"> Act. The Board noted that it would receive </w:t>
      </w:r>
      <w:r w:rsidRPr="00477D07">
        <w:rPr>
          <w:rFonts w:cs="Arial"/>
          <w:szCs w:val="24"/>
        </w:rPr>
        <w:lastRenderedPageBreak/>
        <w:t>further papers on single sex spaces and on conversion therapy at its January meeting.</w:t>
      </w:r>
    </w:p>
    <w:p w:rsidR="00B4728E" w:rsidRPr="00477D07" w:rsidRDefault="00B4728E" w:rsidP="00B4728E">
      <w:pPr>
        <w:spacing w:line="240" w:lineRule="auto"/>
        <w:ind w:left="720" w:hanging="720"/>
        <w:rPr>
          <w:rFonts w:cs="Arial"/>
          <w:szCs w:val="24"/>
        </w:rPr>
      </w:pPr>
    </w:p>
    <w:p w:rsidR="00B4728E" w:rsidRPr="00477D07" w:rsidRDefault="00B4728E" w:rsidP="006C59A5">
      <w:pPr>
        <w:spacing w:line="240" w:lineRule="auto"/>
        <w:ind w:left="720" w:hanging="720"/>
        <w:rPr>
          <w:rFonts w:cs="Arial"/>
          <w:b/>
          <w:bCs/>
          <w:szCs w:val="24"/>
        </w:rPr>
      </w:pPr>
      <w:r w:rsidRPr="00477D07">
        <w:rPr>
          <w:rFonts w:cs="Arial"/>
          <w:szCs w:val="24"/>
        </w:rPr>
        <w:t xml:space="preserve">5.4      </w:t>
      </w:r>
      <w:r w:rsidRPr="00477D07">
        <w:rPr>
          <w:rFonts w:cs="Arial"/>
          <w:b/>
          <w:bCs/>
          <w:szCs w:val="24"/>
        </w:rPr>
        <w:t xml:space="preserve">Actions: </w:t>
      </w:r>
    </w:p>
    <w:p w:rsidR="00B4728E" w:rsidRPr="009474DF" w:rsidRDefault="00B4728E" w:rsidP="00B4728E">
      <w:pPr>
        <w:numPr>
          <w:ilvl w:val="0"/>
          <w:numId w:val="16"/>
        </w:numPr>
        <w:spacing w:line="240" w:lineRule="auto"/>
        <w:contextualSpacing/>
        <w:rPr>
          <w:rFonts w:cs="Arial"/>
          <w:b/>
          <w:bCs/>
          <w:szCs w:val="24"/>
        </w:rPr>
      </w:pPr>
      <w:r w:rsidRPr="00477D07">
        <w:rPr>
          <w:rFonts w:cs="Arial"/>
          <w:b/>
          <w:bCs/>
          <w:szCs w:val="24"/>
        </w:rPr>
        <w:t xml:space="preserve">The Policy and Regulatory teams to provide draft guidance on single-sex spaces </w:t>
      </w:r>
      <w:r w:rsidRPr="009474DF">
        <w:rPr>
          <w:rFonts w:cs="Arial"/>
          <w:b/>
          <w:bCs/>
          <w:szCs w:val="24"/>
        </w:rPr>
        <w:t xml:space="preserve">and a response to the government consultation on conversion therapy for the January Board meeting. </w:t>
      </w:r>
    </w:p>
    <w:p w:rsidR="00B4728E" w:rsidRPr="009474DF" w:rsidRDefault="00B4728E" w:rsidP="00B4728E">
      <w:pPr>
        <w:numPr>
          <w:ilvl w:val="0"/>
          <w:numId w:val="16"/>
        </w:numPr>
        <w:spacing w:line="240" w:lineRule="auto"/>
        <w:contextualSpacing/>
        <w:rPr>
          <w:rFonts w:cs="Arial"/>
          <w:b/>
          <w:bCs/>
          <w:szCs w:val="24"/>
        </w:rPr>
      </w:pPr>
      <w:r w:rsidRPr="009474DF">
        <w:rPr>
          <w:rFonts w:cs="Arial"/>
          <w:b/>
          <w:bCs/>
          <w:szCs w:val="24"/>
        </w:rPr>
        <w:t>The Communications team to produce a communications and stakeholder strategy on these issues.</w:t>
      </w:r>
    </w:p>
    <w:p w:rsidR="00B4728E" w:rsidRPr="009474DF" w:rsidRDefault="00B4728E" w:rsidP="00B4728E">
      <w:pPr>
        <w:numPr>
          <w:ilvl w:val="0"/>
          <w:numId w:val="16"/>
        </w:numPr>
        <w:spacing w:line="240" w:lineRule="auto"/>
        <w:contextualSpacing/>
        <w:rPr>
          <w:rFonts w:cs="Arial"/>
          <w:b/>
          <w:bCs/>
          <w:szCs w:val="24"/>
        </w:rPr>
      </w:pPr>
      <w:r w:rsidRPr="009474DF">
        <w:rPr>
          <w:rFonts w:cs="Arial"/>
          <w:b/>
          <w:bCs/>
          <w:szCs w:val="24"/>
        </w:rPr>
        <w:t xml:space="preserve">The Legal team to glean external legal advice on the Gender Recognition Act, including its relationship with the Equality Act. </w:t>
      </w:r>
    </w:p>
    <w:p w:rsidR="00B4728E" w:rsidRPr="00477D07" w:rsidRDefault="00B4728E" w:rsidP="00B4728E">
      <w:pPr>
        <w:numPr>
          <w:ilvl w:val="0"/>
          <w:numId w:val="16"/>
        </w:numPr>
        <w:spacing w:line="240" w:lineRule="auto"/>
        <w:contextualSpacing/>
        <w:rPr>
          <w:rFonts w:cs="Arial"/>
          <w:b/>
          <w:bCs/>
          <w:szCs w:val="24"/>
        </w:rPr>
      </w:pPr>
      <w:r w:rsidRPr="00477D07">
        <w:rPr>
          <w:rFonts w:cs="Arial"/>
          <w:b/>
          <w:bCs/>
          <w:szCs w:val="24"/>
        </w:rPr>
        <w:t>The Finance &amp; Planning teams to incorporate suggestions on the Commission’s longer-term convening role in the draft business plan for 2022/23.</w:t>
      </w:r>
    </w:p>
    <w:p w:rsidR="00B218B9" w:rsidRPr="00B218B9" w:rsidRDefault="00B218B9" w:rsidP="00B218B9">
      <w:pPr>
        <w:spacing w:line="240" w:lineRule="auto"/>
        <w:rPr>
          <w:rFonts w:cs="Arial"/>
          <w:szCs w:val="24"/>
        </w:rPr>
      </w:pPr>
    </w:p>
    <w:p w:rsidR="00B218B9" w:rsidRDefault="00B218B9" w:rsidP="00B4728E">
      <w:pPr>
        <w:pStyle w:val="Heading3"/>
      </w:pPr>
      <w:bookmarkStart w:id="14" w:name="_Toc94003020"/>
      <w:r w:rsidRPr="00B218B9">
        <w:t>6.</w:t>
      </w:r>
      <w:r w:rsidRPr="00B218B9">
        <w:tab/>
      </w:r>
      <w:r w:rsidR="00B4728E" w:rsidRPr="00B4728E">
        <w:t>EHRC Strategy 22-25 consultation feedback and next steps</w:t>
      </w:r>
      <w:bookmarkEnd w:id="14"/>
    </w:p>
    <w:p w:rsidR="00B4728E" w:rsidRPr="00B4728E" w:rsidRDefault="00B4728E" w:rsidP="00B4728E"/>
    <w:p w:rsidR="00B4728E" w:rsidRDefault="00B4728E" w:rsidP="00B4728E">
      <w:pPr>
        <w:spacing w:line="240" w:lineRule="auto"/>
        <w:ind w:left="720" w:hanging="720"/>
        <w:rPr>
          <w:rFonts w:cs="Arial"/>
          <w:szCs w:val="24"/>
        </w:rPr>
      </w:pPr>
      <w:r w:rsidRPr="00B4728E">
        <w:rPr>
          <w:rFonts w:cs="Arial"/>
          <w:szCs w:val="24"/>
        </w:rPr>
        <w:t>6.1</w:t>
      </w:r>
      <w:r w:rsidRPr="00B4728E">
        <w:rPr>
          <w:rFonts w:cs="Arial"/>
          <w:szCs w:val="24"/>
        </w:rPr>
        <w:tab/>
        <w:t>The Board reflected on the key themes emerging from the consultation exercise, and agreed to the proposed strategic areas of focus and which related issues should be prioritised. Members proposed changes to the document and agreed that the revised strategy document should be reviewed by the Chief Executive Officer and Chairwoman before returning to the Board in January for formal sign off.</w:t>
      </w:r>
    </w:p>
    <w:p w:rsidR="00B4728E" w:rsidRPr="00B4728E" w:rsidRDefault="00B4728E" w:rsidP="00B4728E">
      <w:pPr>
        <w:spacing w:line="240" w:lineRule="auto"/>
        <w:ind w:left="720" w:hanging="720"/>
        <w:rPr>
          <w:rFonts w:cs="Arial"/>
          <w:szCs w:val="24"/>
        </w:rPr>
      </w:pPr>
    </w:p>
    <w:p w:rsidR="00B4728E" w:rsidRDefault="00B4728E" w:rsidP="00B4728E">
      <w:pPr>
        <w:spacing w:line="240" w:lineRule="auto"/>
        <w:ind w:left="720" w:hanging="720"/>
        <w:rPr>
          <w:rFonts w:cs="Arial"/>
          <w:szCs w:val="24"/>
        </w:rPr>
      </w:pPr>
      <w:r w:rsidRPr="00B4728E">
        <w:rPr>
          <w:rFonts w:cs="Arial"/>
          <w:szCs w:val="24"/>
        </w:rPr>
        <w:t>6.2</w:t>
      </w:r>
      <w:r w:rsidRPr="00B4728E">
        <w:rPr>
          <w:rFonts w:cs="Arial"/>
          <w:szCs w:val="24"/>
        </w:rPr>
        <w:tab/>
        <w:t>Members asked for responsive capacity to be available to respond to emerging issues, potentially including the equality and human rights impacts of climate change. They also emphasised the need to be clear on where the Commission’s resources were being focussed and to be realistic about what would be deliverable, given the tight Spending Review settlement.</w:t>
      </w:r>
    </w:p>
    <w:p w:rsidR="00B4728E" w:rsidRPr="00B4728E" w:rsidRDefault="00B4728E" w:rsidP="00B4728E">
      <w:pPr>
        <w:spacing w:line="240" w:lineRule="auto"/>
        <w:ind w:left="720" w:hanging="720"/>
        <w:rPr>
          <w:rFonts w:cs="Arial"/>
          <w:szCs w:val="24"/>
        </w:rPr>
      </w:pPr>
    </w:p>
    <w:p w:rsidR="00B4728E" w:rsidRPr="00B4728E" w:rsidRDefault="00B4728E" w:rsidP="00B4728E">
      <w:pPr>
        <w:spacing w:line="240" w:lineRule="auto"/>
        <w:ind w:left="720" w:hanging="720"/>
        <w:rPr>
          <w:rFonts w:cs="Arial"/>
          <w:b/>
          <w:szCs w:val="24"/>
        </w:rPr>
      </w:pPr>
      <w:r w:rsidRPr="00B4728E">
        <w:rPr>
          <w:rFonts w:cs="Arial"/>
          <w:szCs w:val="24"/>
        </w:rPr>
        <w:t>6.3</w:t>
      </w:r>
      <w:r w:rsidRPr="00B4728E">
        <w:rPr>
          <w:rFonts w:cs="Arial"/>
          <w:szCs w:val="24"/>
        </w:rPr>
        <w:tab/>
      </w:r>
      <w:r w:rsidRPr="00B4728E">
        <w:rPr>
          <w:rFonts w:cs="Arial"/>
          <w:b/>
          <w:szCs w:val="24"/>
        </w:rPr>
        <w:t>Actions:</w:t>
      </w:r>
    </w:p>
    <w:p w:rsidR="00B4728E" w:rsidRPr="00B4728E" w:rsidRDefault="00B4728E" w:rsidP="00B4728E">
      <w:pPr>
        <w:spacing w:line="240" w:lineRule="auto"/>
        <w:ind w:left="720"/>
        <w:rPr>
          <w:rFonts w:cs="Arial"/>
          <w:b/>
          <w:szCs w:val="24"/>
        </w:rPr>
      </w:pPr>
      <w:r>
        <w:rPr>
          <w:rFonts w:cs="Arial"/>
          <w:b/>
          <w:szCs w:val="24"/>
        </w:rPr>
        <w:t xml:space="preserve">a) </w:t>
      </w:r>
      <w:r w:rsidRPr="00B4728E">
        <w:rPr>
          <w:rFonts w:cs="Arial"/>
          <w:b/>
          <w:szCs w:val="24"/>
        </w:rPr>
        <w:t xml:space="preserve">The Policy Team to produce a paper on how climate change will impact the areas of focus in the Strategy. </w:t>
      </w:r>
    </w:p>
    <w:p w:rsidR="00B218B9" w:rsidRPr="00B4728E" w:rsidRDefault="00B4728E" w:rsidP="00B4728E">
      <w:pPr>
        <w:spacing w:line="240" w:lineRule="auto"/>
        <w:ind w:left="720"/>
        <w:rPr>
          <w:rFonts w:cs="Arial"/>
          <w:b/>
          <w:szCs w:val="24"/>
        </w:rPr>
      </w:pPr>
      <w:r>
        <w:rPr>
          <w:rFonts w:cs="Arial"/>
          <w:b/>
          <w:szCs w:val="24"/>
        </w:rPr>
        <w:t xml:space="preserve">b) </w:t>
      </w:r>
      <w:r w:rsidRPr="00B4728E">
        <w:rPr>
          <w:rFonts w:cs="Arial"/>
          <w:b/>
          <w:szCs w:val="24"/>
        </w:rPr>
        <w:t>The Strategy Team to provide the Board with the detail of responses received to the strategy consultation.</w:t>
      </w:r>
    </w:p>
    <w:p w:rsidR="00B4728E" w:rsidRPr="00B218B9" w:rsidRDefault="00B4728E" w:rsidP="00B4728E">
      <w:pPr>
        <w:spacing w:line="240" w:lineRule="auto"/>
        <w:ind w:left="720" w:hanging="720"/>
        <w:rPr>
          <w:rFonts w:cs="Arial"/>
          <w:szCs w:val="24"/>
        </w:rPr>
      </w:pPr>
    </w:p>
    <w:p w:rsidR="00B218B9" w:rsidRPr="00B218B9" w:rsidRDefault="00B218B9" w:rsidP="00125423">
      <w:pPr>
        <w:pStyle w:val="Heading3"/>
      </w:pPr>
      <w:bookmarkStart w:id="15" w:name="_Toc94003021"/>
      <w:r w:rsidRPr="00B218B9">
        <w:t>7.</w:t>
      </w:r>
      <w:r w:rsidRPr="00B218B9">
        <w:tab/>
      </w:r>
      <w:r w:rsidR="00B4728E" w:rsidRPr="00B4728E">
        <w:t>Framework for delivery in 22-23</w:t>
      </w:r>
      <w:bookmarkEnd w:id="15"/>
    </w:p>
    <w:p w:rsidR="00B218B9" w:rsidRPr="00B218B9" w:rsidRDefault="00B218B9" w:rsidP="00B218B9">
      <w:pPr>
        <w:spacing w:line="240" w:lineRule="auto"/>
        <w:ind w:left="720" w:hanging="720"/>
        <w:rPr>
          <w:rFonts w:cs="Arial"/>
          <w:szCs w:val="24"/>
        </w:rPr>
      </w:pPr>
    </w:p>
    <w:p w:rsidR="00B4728E" w:rsidRDefault="00B4728E" w:rsidP="00B4728E">
      <w:pPr>
        <w:spacing w:line="240" w:lineRule="auto"/>
        <w:ind w:left="720" w:hanging="720"/>
        <w:rPr>
          <w:rFonts w:cs="Arial"/>
          <w:szCs w:val="24"/>
        </w:rPr>
      </w:pPr>
      <w:r w:rsidRPr="00B4728E">
        <w:rPr>
          <w:rFonts w:cs="Arial"/>
          <w:szCs w:val="24"/>
        </w:rPr>
        <w:t>7.1</w:t>
      </w:r>
      <w:r w:rsidRPr="00B4728E">
        <w:rPr>
          <w:rFonts w:cs="Arial"/>
          <w:szCs w:val="24"/>
        </w:rPr>
        <w:tab/>
        <w:t xml:space="preserve">The Board welcomed the paper setting out how the Commission will move from signing off its 2022-25 Strategy to agreeing the details of its 2022-23 Business Plan. Members agreed the overall approach, timeline and their involvement going forward. </w:t>
      </w:r>
    </w:p>
    <w:p w:rsidR="00B4728E" w:rsidRPr="00B4728E" w:rsidRDefault="00B4728E" w:rsidP="00B4728E">
      <w:pPr>
        <w:spacing w:line="240" w:lineRule="auto"/>
        <w:ind w:left="720" w:hanging="720"/>
        <w:rPr>
          <w:rFonts w:cs="Arial"/>
          <w:szCs w:val="24"/>
        </w:rPr>
      </w:pPr>
    </w:p>
    <w:p w:rsidR="00B4728E" w:rsidRDefault="00B4728E" w:rsidP="00B4728E">
      <w:pPr>
        <w:spacing w:line="240" w:lineRule="auto"/>
        <w:ind w:left="720" w:hanging="720"/>
        <w:rPr>
          <w:rFonts w:cs="Arial"/>
          <w:szCs w:val="24"/>
        </w:rPr>
      </w:pPr>
      <w:r w:rsidRPr="00B4728E">
        <w:rPr>
          <w:rFonts w:cs="Arial"/>
          <w:szCs w:val="24"/>
        </w:rPr>
        <w:t>7.2</w:t>
      </w:r>
      <w:r w:rsidRPr="00B4728E">
        <w:rPr>
          <w:rFonts w:cs="Arial"/>
          <w:szCs w:val="24"/>
        </w:rPr>
        <w:tab/>
        <w:t>Members advised that the plan needed to reinforce the Commission’s position as an effective regulator and to maintain focus and outcome, moving at pace and being able to make quick decisions.</w:t>
      </w:r>
    </w:p>
    <w:p w:rsidR="00B4728E" w:rsidRPr="00B4728E" w:rsidRDefault="00B4728E" w:rsidP="00B4728E">
      <w:pPr>
        <w:spacing w:line="240" w:lineRule="auto"/>
        <w:ind w:left="720" w:hanging="720"/>
        <w:rPr>
          <w:rFonts w:cs="Arial"/>
          <w:szCs w:val="24"/>
        </w:rPr>
      </w:pPr>
    </w:p>
    <w:p w:rsidR="00B4728E" w:rsidRPr="00B4728E" w:rsidRDefault="00B4728E" w:rsidP="00B4728E">
      <w:pPr>
        <w:spacing w:line="240" w:lineRule="auto"/>
        <w:rPr>
          <w:rFonts w:cs="Arial"/>
          <w:b/>
          <w:szCs w:val="24"/>
        </w:rPr>
      </w:pPr>
      <w:r w:rsidRPr="00B4728E">
        <w:rPr>
          <w:rFonts w:cs="Arial"/>
          <w:szCs w:val="24"/>
        </w:rPr>
        <w:t>7.3</w:t>
      </w:r>
      <w:r w:rsidRPr="00B4728E">
        <w:rPr>
          <w:rFonts w:cs="Arial"/>
          <w:szCs w:val="24"/>
        </w:rPr>
        <w:tab/>
      </w:r>
      <w:r w:rsidRPr="00B4728E">
        <w:rPr>
          <w:rFonts w:cs="Arial"/>
          <w:b/>
          <w:szCs w:val="24"/>
        </w:rPr>
        <w:t xml:space="preserve">Actions: </w:t>
      </w:r>
    </w:p>
    <w:p w:rsidR="00B4728E" w:rsidRPr="00B4728E" w:rsidRDefault="00B4728E" w:rsidP="00B4728E">
      <w:pPr>
        <w:spacing w:line="240" w:lineRule="auto"/>
        <w:ind w:left="720"/>
        <w:rPr>
          <w:rFonts w:cs="Arial"/>
          <w:b/>
          <w:szCs w:val="24"/>
        </w:rPr>
      </w:pPr>
      <w:r>
        <w:rPr>
          <w:rFonts w:cs="Arial"/>
          <w:b/>
          <w:szCs w:val="24"/>
        </w:rPr>
        <w:lastRenderedPageBreak/>
        <w:t xml:space="preserve">a) </w:t>
      </w:r>
      <w:r w:rsidRPr="00B4728E">
        <w:rPr>
          <w:rFonts w:cs="Arial"/>
          <w:b/>
          <w:szCs w:val="24"/>
        </w:rPr>
        <w:t>The Strategy Team to produce draft strategies for the areas of focus and set out how to reinforce the Commission’s regulatory powers for the January Board meeting.</w:t>
      </w:r>
    </w:p>
    <w:p w:rsidR="00B218B9" w:rsidRPr="00B4728E" w:rsidRDefault="00B4728E" w:rsidP="00B4728E">
      <w:pPr>
        <w:spacing w:line="240" w:lineRule="auto"/>
        <w:ind w:left="720"/>
        <w:rPr>
          <w:rFonts w:cs="Arial"/>
          <w:b/>
          <w:szCs w:val="24"/>
        </w:rPr>
      </w:pPr>
      <w:r>
        <w:rPr>
          <w:rFonts w:cs="Arial"/>
          <w:b/>
          <w:szCs w:val="24"/>
        </w:rPr>
        <w:t xml:space="preserve">b) </w:t>
      </w:r>
      <w:r w:rsidRPr="00B4728E">
        <w:rPr>
          <w:rFonts w:cs="Arial"/>
          <w:b/>
          <w:szCs w:val="24"/>
        </w:rPr>
        <w:t>The Strategy Team to produce a near-final business plan for the February Board meeting.</w:t>
      </w:r>
    </w:p>
    <w:p w:rsidR="00B4728E" w:rsidRPr="00B218B9" w:rsidRDefault="00B4728E" w:rsidP="00B4728E">
      <w:pPr>
        <w:spacing w:line="240" w:lineRule="auto"/>
        <w:ind w:left="720"/>
        <w:rPr>
          <w:rFonts w:cs="Arial"/>
          <w:szCs w:val="24"/>
        </w:rPr>
      </w:pPr>
    </w:p>
    <w:p w:rsidR="00B218B9" w:rsidRPr="00B218B9" w:rsidRDefault="00B218B9" w:rsidP="00B4728E">
      <w:pPr>
        <w:pStyle w:val="Heading3"/>
        <w:ind w:left="720" w:hanging="720"/>
      </w:pPr>
      <w:bookmarkStart w:id="16" w:name="_Toc94003022"/>
      <w:r w:rsidRPr="00B218B9">
        <w:t>8.</w:t>
      </w:r>
      <w:r w:rsidRPr="00B218B9">
        <w:tab/>
      </w:r>
      <w:r w:rsidR="00B4728E" w:rsidRPr="00B4728E">
        <w:t>Updates and assurance from Committees and Commissioner Working Groups</w:t>
      </w:r>
      <w:bookmarkEnd w:id="16"/>
    </w:p>
    <w:p w:rsidR="00B218B9" w:rsidRPr="00B218B9" w:rsidRDefault="00B218B9" w:rsidP="00B218B9">
      <w:pPr>
        <w:spacing w:line="240" w:lineRule="auto"/>
        <w:ind w:left="720" w:hanging="720"/>
        <w:rPr>
          <w:rFonts w:cs="Arial"/>
          <w:szCs w:val="24"/>
        </w:rPr>
      </w:pPr>
    </w:p>
    <w:p w:rsidR="00B4728E" w:rsidRDefault="00B4728E" w:rsidP="00B4728E">
      <w:pPr>
        <w:spacing w:line="240" w:lineRule="auto"/>
        <w:ind w:left="720" w:hanging="720"/>
        <w:rPr>
          <w:rFonts w:cs="Arial"/>
          <w:szCs w:val="24"/>
        </w:rPr>
      </w:pPr>
      <w:r w:rsidRPr="00B4728E">
        <w:rPr>
          <w:rFonts w:cs="Arial"/>
          <w:szCs w:val="24"/>
        </w:rPr>
        <w:t>8.1</w:t>
      </w:r>
      <w:r w:rsidRPr="00B4728E">
        <w:rPr>
          <w:rFonts w:cs="Arial"/>
          <w:szCs w:val="24"/>
        </w:rPr>
        <w:tab/>
        <w:t>Board members were provided with the Scotland and Wales impact reports and draft Committee and Commissioner Working group’s minutes.</w:t>
      </w:r>
    </w:p>
    <w:p w:rsidR="00B4728E" w:rsidRPr="00B4728E" w:rsidRDefault="00B4728E" w:rsidP="00B4728E">
      <w:pPr>
        <w:spacing w:line="240" w:lineRule="auto"/>
        <w:ind w:left="720" w:hanging="720"/>
        <w:rPr>
          <w:rFonts w:cs="Arial"/>
          <w:szCs w:val="24"/>
        </w:rPr>
      </w:pPr>
    </w:p>
    <w:p w:rsidR="00B4728E" w:rsidRDefault="00B4728E" w:rsidP="00B4728E">
      <w:pPr>
        <w:spacing w:line="240" w:lineRule="auto"/>
        <w:ind w:left="720" w:hanging="720"/>
        <w:rPr>
          <w:rFonts w:cs="Arial"/>
          <w:szCs w:val="24"/>
        </w:rPr>
      </w:pPr>
      <w:r w:rsidRPr="00B4728E">
        <w:rPr>
          <w:rFonts w:cs="Arial"/>
          <w:szCs w:val="24"/>
        </w:rPr>
        <w:t>8.2</w:t>
      </w:r>
      <w:r w:rsidRPr="00B4728E">
        <w:rPr>
          <w:rFonts w:cs="Arial"/>
          <w:szCs w:val="24"/>
        </w:rPr>
        <w:tab/>
        <w:t xml:space="preserve">The Scotland Committee Chair advised that the Committee had noted the missed opportunity to align the impact report with the “Is Scotland Fairer” report. </w:t>
      </w:r>
    </w:p>
    <w:p w:rsidR="00B4728E" w:rsidRPr="00B4728E" w:rsidRDefault="00B4728E" w:rsidP="00B4728E">
      <w:pPr>
        <w:spacing w:line="240" w:lineRule="auto"/>
        <w:ind w:left="720" w:hanging="720"/>
        <w:rPr>
          <w:rFonts w:cs="Arial"/>
          <w:szCs w:val="24"/>
        </w:rPr>
      </w:pPr>
    </w:p>
    <w:p w:rsidR="00B4728E" w:rsidRDefault="00B4728E" w:rsidP="00B4728E">
      <w:pPr>
        <w:spacing w:line="240" w:lineRule="auto"/>
        <w:ind w:left="720" w:hanging="720"/>
        <w:rPr>
          <w:rFonts w:cs="Arial"/>
          <w:szCs w:val="24"/>
        </w:rPr>
      </w:pPr>
      <w:r w:rsidRPr="00B4728E">
        <w:rPr>
          <w:rFonts w:cs="Arial"/>
          <w:szCs w:val="24"/>
        </w:rPr>
        <w:t>8.3</w:t>
      </w:r>
      <w:r w:rsidRPr="00B4728E">
        <w:rPr>
          <w:rFonts w:cs="Arial"/>
          <w:szCs w:val="24"/>
        </w:rPr>
        <w:tab/>
      </w:r>
      <w:r w:rsidRPr="00712F0F">
        <w:rPr>
          <w:rFonts w:cs="Arial"/>
          <w:b/>
          <w:szCs w:val="24"/>
        </w:rPr>
        <w:t>Action: A small typographical error to be corrected in the Scotland Impact report. Corporate Governance Team to share updated version with Board for information.</w:t>
      </w:r>
    </w:p>
    <w:p w:rsidR="00B4728E" w:rsidRPr="00B4728E" w:rsidRDefault="00B4728E" w:rsidP="00B4728E">
      <w:pPr>
        <w:spacing w:line="240" w:lineRule="auto"/>
        <w:ind w:left="720" w:hanging="720"/>
        <w:rPr>
          <w:rFonts w:cs="Arial"/>
          <w:szCs w:val="24"/>
        </w:rPr>
      </w:pPr>
    </w:p>
    <w:p w:rsidR="00B4728E" w:rsidRDefault="00B4728E" w:rsidP="00B4728E">
      <w:pPr>
        <w:spacing w:line="240" w:lineRule="auto"/>
        <w:ind w:left="720" w:hanging="720"/>
        <w:rPr>
          <w:rFonts w:cs="Arial"/>
          <w:szCs w:val="24"/>
        </w:rPr>
      </w:pPr>
      <w:r w:rsidRPr="00B4728E">
        <w:rPr>
          <w:rFonts w:cs="Arial"/>
          <w:szCs w:val="24"/>
        </w:rPr>
        <w:t>8.4</w:t>
      </w:r>
      <w:r w:rsidRPr="00B4728E">
        <w:rPr>
          <w:rFonts w:cs="Arial"/>
          <w:szCs w:val="24"/>
        </w:rPr>
        <w:tab/>
        <w:t xml:space="preserve">The Interim Wales Committee Chair noted the Welsh Government’s appetite for devolved human rights legislation. Members considered the opportunities and challenges to the Commission of having differing policy positions across nations and regions. </w:t>
      </w:r>
    </w:p>
    <w:p w:rsidR="00B4728E" w:rsidRPr="00B4728E" w:rsidRDefault="00B4728E" w:rsidP="00B4728E">
      <w:pPr>
        <w:spacing w:line="240" w:lineRule="auto"/>
        <w:ind w:left="720" w:hanging="720"/>
        <w:rPr>
          <w:rFonts w:cs="Arial"/>
          <w:szCs w:val="24"/>
        </w:rPr>
      </w:pPr>
    </w:p>
    <w:p w:rsidR="00B4728E" w:rsidRPr="00B4728E" w:rsidRDefault="00B4728E" w:rsidP="00B4728E">
      <w:pPr>
        <w:spacing w:line="240" w:lineRule="auto"/>
        <w:ind w:left="720" w:hanging="720"/>
        <w:rPr>
          <w:rFonts w:cs="Arial"/>
          <w:b/>
          <w:szCs w:val="24"/>
        </w:rPr>
      </w:pPr>
      <w:r w:rsidRPr="00B4728E">
        <w:rPr>
          <w:rFonts w:cs="Arial"/>
          <w:szCs w:val="24"/>
        </w:rPr>
        <w:t>8.5</w:t>
      </w:r>
      <w:r w:rsidRPr="00B4728E">
        <w:rPr>
          <w:rFonts w:cs="Arial"/>
          <w:szCs w:val="24"/>
        </w:rPr>
        <w:tab/>
      </w:r>
      <w:r w:rsidRPr="00B4728E">
        <w:rPr>
          <w:rFonts w:cs="Arial"/>
          <w:b/>
          <w:szCs w:val="24"/>
        </w:rPr>
        <w:t>Actions:</w:t>
      </w:r>
    </w:p>
    <w:p w:rsidR="00B4728E" w:rsidRPr="00B4728E" w:rsidRDefault="00B4728E" w:rsidP="00B4728E">
      <w:pPr>
        <w:spacing w:line="240" w:lineRule="auto"/>
        <w:ind w:left="720"/>
        <w:rPr>
          <w:rFonts w:cs="Arial"/>
          <w:b/>
          <w:szCs w:val="24"/>
        </w:rPr>
      </w:pPr>
      <w:r>
        <w:rPr>
          <w:rFonts w:cs="Arial"/>
          <w:b/>
          <w:szCs w:val="24"/>
        </w:rPr>
        <w:t xml:space="preserve">a) </w:t>
      </w:r>
      <w:r w:rsidRPr="00B4728E">
        <w:rPr>
          <w:rFonts w:cs="Arial"/>
          <w:b/>
          <w:szCs w:val="24"/>
        </w:rPr>
        <w:t xml:space="preserve">The Corporate Governance Team to enable the data in the Wales and Scotland impact reports to be included in future Annual Report and Accounts rather than as an individual, country-specific impact report. </w:t>
      </w:r>
    </w:p>
    <w:p w:rsidR="00B4728E" w:rsidRPr="00B4728E" w:rsidRDefault="00B4728E" w:rsidP="00B4728E">
      <w:pPr>
        <w:spacing w:line="240" w:lineRule="auto"/>
        <w:ind w:left="720"/>
        <w:rPr>
          <w:rFonts w:cs="Arial"/>
          <w:b/>
          <w:szCs w:val="24"/>
        </w:rPr>
      </w:pPr>
      <w:r>
        <w:rPr>
          <w:rFonts w:cs="Arial"/>
          <w:b/>
          <w:szCs w:val="24"/>
        </w:rPr>
        <w:t xml:space="preserve">b) </w:t>
      </w:r>
      <w:r w:rsidRPr="00B4728E">
        <w:rPr>
          <w:rFonts w:cs="Arial"/>
          <w:b/>
          <w:szCs w:val="24"/>
        </w:rPr>
        <w:t xml:space="preserve">Three Nations working to be discussed at the April Board meeting. </w:t>
      </w:r>
    </w:p>
    <w:p w:rsidR="00B4728E" w:rsidRPr="00B4728E" w:rsidRDefault="00B4728E" w:rsidP="00B4728E">
      <w:pPr>
        <w:spacing w:line="240" w:lineRule="auto"/>
        <w:ind w:left="720" w:hanging="720"/>
        <w:rPr>
          <w:rFonts w:cs="Arial"/>
          <w:szCs w:val="24"/>
        </w:rPr>
      </w:pPr>
    </w:p>
    <w:p w:rsidR="00B4728E" w:rsidRDefault="00B4728E" w:rsidP="00B4728E">
      <w:pPr>
        <w:spacing w:line="240" w:lineRule="auto"/>
        <w:ind w:left="720" w:hanging="720"/>
        <w:rPr>
          <w:rFonts w:cs="Arial"/>
          <w:szCs w:val="24"/>
        </w:rPr>
      </w:pPr>
      <w:r w:rsidRPr="00B4728E">
        <w:rPr>
          <w:rFonts w:cs="Arial"/>
          <w:szCs w:val="24"/>
        </w:rPr>
        <w:t>8.6</w:t>
      </w:r>
      <w:r w:rsidRPr="00B4728E">
        <w:rPr>
          <w:rFonts w:cs="Arial"/>
          <w:szCs w:val="24"/>
        </w:rPr>
        <w:tab/>
        <w:t>The People and Workspaces Committee had met on 1st November, where they had discussed: staff engagement, organisational morale; and the Pulse Survey results, noting that work was underway in the transformation programme to address the results. The ICT and estates strategies for the next 3 years was also discussed.</w:t>
      </w:r>
    </w:p>
    <w:p w:rsidR="00B4728E" w:rsidRPr="00B4728E" w:rsidRDefault="00B4728E" w:rsidP="00B4728E">
      <w:pPr>
        <w:spacing w:line="240" w:lineRule="auto"/>
        <w:ind w:left="720" w:hanging="720"/>
        <w:rPr>
          <w:rFonts w:cs="Arial"/>
          <w:szCs w:val="24"/>
        </w:rPr>
      </w:pPr>
    </w:p>
    <w:p w:rsidR="00B4728E" w:rsidRDefault="00B4728E" w:rsidP="00B4728E">
      <w:pPr>
        <w:spacing w:line="240" w:lineRule="auto"/>
        <w:ind w:left="720" w:hanging="720"/>
        <w:rPr>
          <w:rFonts w:cs="Arial"/>
          <w:szCs w:val="24"/>
        </w:rPr>
      </w:pPr>
      <w:r w:rsidRPr="00B4728E">
        <w:rPr>
          <w:rFonts w:cs="Arial"/>
          <w:szCs w:val="24"/>
        </w:rPr>
        <w:t>8.7</w:t>
      </w:r>
      <w:r w:rsidRPr="00B4728E">
        <w:rPr>
          <w:rFonts w:cs="Arial"/>
          <w:szCs w:val="24"/>
        </w:rPr>
        <w:tab/>
        <w:t xml:space="preserve">The Audit and Risk Assurance Committee (ARAC) Chair thanked Commissioners for taking part in the risk survey assessment and advised that the results will be presented at the next ARAC meeting in February and brought to the Board in March. </w:t>
      </w:r>
    </w:p>
    <w:p w:rsidR="00B4728E" w:rsidRPr="00B4728E" w:rsidRDefault="00B4728E" w:rsidP="00B4728E">
      <w:pPr>
        <w:spacing w:line="240" w:lineRule="auto"/>
        <w:ind w:left="720" w:hanging="720"/>
        <w:rPr>
          <w:rFonts w:cs="Arial"/>
          <w:szCs w:val="24"/>
        </w:rPr>
      </w:pPr>
    </w:p>
    <w:p w:rsidR="00B4728E" w:rsidRPr="00B4728E" w:rsidRDefault="00B4728E" w:rsidP="00B4728E">
      <w:pPr>
        <w:spacing w:line="240" w:lineRule="auto"/>
        <w:ind w:left="720" w:hanging="720"/>
        <w:rPr>
          <w:rFonts w:cs="Arial"/>
          <w:szCs w:val="24"/>
        </w:rPr>
      </w:pPr>
      <w:r w:rsidRPr="00B4728E">
        <w:rPr>
          <w:rFonts w:cs="Arial"/>
          <w:szCs w:val="24"/>
        </w:rPr>
        <w:t>8.8</w:t>
      </w:r>
      <w:r w:rsidRPr="00B4728E">
        <w:rPr>
          <w:rFonts w:cs="Arial"/>
          <w:szCs w:val="24"/>
        </w:rPr>
        <w:tab/>
        <w:t>The Commissioner Working Group for Is Britain Fairer (IBF) had met on 8th November. Committee members discussed the content and chapters of the latest IBF reports, agreeing on shorter reports which focus on protected characteristics as well as or instead of policy domains, as well as changes to equality over ten years and international comparisons.</w:t>
      </w:r>
    </w:p>
    <w:p w:rsidR="00B218B9" w:rsidRDefault="00B4728E" w:rsidP="00B4728E">
      <w:pPr>
        <w:spacing w:line="240" w:lineRule="auto"/>
        <w:ind w:left="720" w:hanging="720"/>
        <w:rPr>
          <w:rFonts w:cs="Arial"/>
          <w:szCs w:val="24"/>
        </w:rPr>
      </w:pPr>
      <w:r w:rsidRPr="00B4728E">
        <w:rPr>
          <w:rFonts w:cs="Arial"/>
          <w:szCs w:val="24"/>
        </w:rPr>
        <w:lastRenderedPageBreak/>
        <w:t>8.9</w:t>
      </w:r>
      <w:r w:rsidRPr="00B4728E">
        <w:rPr>
          <w:rFonts w:cs="Arial"/>
          <w:szCs w:val="24"/>
        </w:rPr>
        <w:tab/>
        <w:t>The Commissioner Working Group for Human Rights Monitoring Chair advised Commissioners that on 10th December the next tranche of content for the Human Rights Tracker assessments would be published.</w:t>
      </w:r>
      <w:r w:rsidR="00B218B9" w:rsidRPr="00B218B9">
        <w:rPr>
          <w:rFonts w:cs="Arial"/>
          <w:szCs w:val="24"/>
        </w:rPr>
        <w:tab/>
      </w:r>
    </w:p>
    <w:p w:rsidR="00B4728E" w:rsidRPr="00B218B9" w:rsidRDefault="00B4728E" w:rsidP="00B4728E">
      <w:pPr>
        <w:spacing w:line="240" w:lineRule="auto"/>
        <w:ind w:left="720" w:hanging="720"/>
        <w:rPr>
          <w:rFonts w:cs="Arial"/>
          <w:szCs w:val="24"/>
        </w:rPr>
      </w:pPr>
    </w:p>
    <w:p w:rsidR="00B4728E" w:rsidRPr="00CB508F" w:rsidRDefault="00B4728E" w:rsidP="00B4728E">
      <w:pPr>
        <w:keepNext/>
        <w:keepLines/>
        <w:spacing w:line="240" w:lineRule="auto"/>
        <w:ind w:left="720" w:hanging="720"/>
        <w:outlineLvl w:val="0"/>
        <w:rPr>
          <w:rFonts w:eastAsia="Times New Roman" w:cs="Arial"/>
          <w:b/>
          <w:bCs/>
          <w:szCs w:val="24"/>
        </w:rPr>
      </w:pPr>
      <w:bookmarkStart w:id="17" w:name="_Toc86231854"/>
      <w:bookmarkStart w:id="18" w:name="_Toc86231882"/>
      <w:bookmarkStart w:id="19" w:name="_Toc94003023"/>
      <w:r>
        <w:rPr>
          <w:rFonts w:eastAsia="Times New Roman" w:cs="Arial"/>
          <w:b/>
          <w:bCs/>
          <w:szCs w:val="24"/>
        </w:rPr>
        <w:t>9</w:t>
      </w:r>
      <w:r w:rsidRPr="00CB508F">
        <w:rPr>
          <w:rFonts w:eastAsia="Times New Roman" w:cs="Arial"/>
          <w:b/>
          <w:bCs/>
          <w:szCs w:val="24"/>
        </w:rPr>
        <w:t>.</w:t>
      </w:r>
      <w:r w:rsidRPr="00CB508F">
        <w:rPr>
          <w:rFonts w:eastAsia="Times New Roman" w:cs="Arial"/>
          <w:b/>
          <w:bCs/>
          <w:szCs w:val="24"/>
        </w:rPr>
        <w:tab/>
        <w:t>Any other business</w:t>
      </w:r>
      <w:bookmarkEnd w:id="17"/>
      <w:bookmarkEnd w:id="18"/>
      <w:bookmarkEnd w:id="19"/>
    </w:p>
    <w:p w:rsidR="00B4728E" w:rsidRPr="00CB508F" w:rsidRDefault="00B4728E" w:rsidP="00B4728E">
      <w:pPr>
        <w:keepNext/>
        <w:keepLines/>
        <w:spacing w:line="240" w:lineRule="auto"/>
        <w:outlineLvl w:val="0"/>
        <w:rPr>
          <w:rFonts w:eastAsia="Times New Roman" w:cs="Arial"/>
          <w:b/>
          <w:bCs/>
          <w:szCs w:val="24"/>
        </w:rPr>
      </w:pPr>
    </w:p>
    <w:p w:rsidR="00B4728E" w:rsidRDefault="00B4728E" w:rsidP="00B4728E">
      <w:pPr>
        <w:spacing w:line="240" w:lineRule="auto"/>
        <w:ind w:left="720" w:hanging="720"/>
        <w:rPr>
          <w:rFonts w:cs="Arial"/>
          <w:bCs/>
          <w:szCs w:val="24"/>
        </w:rPr>
      </w:pPr>
      <w:r>
        <w:rPr>
          <w:rFonts w:cs="Arial"/>
          <w:bCs/>
          <w:szCs w:val="24"/>
        </w:rPr>
        <w:t>9</w:t>
      </w:r>
      <w:r w:rsidRPr="00CB508F">
        <w:rPr>
          <w:rFonts w:cs="Arial"/>
          <w:bCs/>
          <w:szCs w:val="24"/>
        </w:rPr>
        <w:t>.1</w:t>
      </w:r>
      <w:r w:rsidRPr="00CB508F">
        <w:rPr>
          <w:rFonts w:cs="Arial"/>
          <w:bCs/>
          <w:szCs w:val="24"/>
        </w:rPr>
        <w:tab/>
      </w:r>
      <w:r>
        <w:rPr>
          <w:rFonts w:cs="Arial"/>
          <w:bCs/>
          <w:szCs w:val="24"/>
        </w:rPr>
        <w:t>The Chairwoman reminded me</w:t>
      </w:r>
      <w:r w:rsidR="008A0189">
        <w:rPr>
          <w:rFonts w:cs="Arial"/>
          <w:bCs/>
          <w:szCs w:val="24"/>
        </w:rPr>
        <w:t xml:space="preserve">mbers that a presentation from </w:t>
      </w:r>
      <w:r w:rsidR="008E23BF">
        <w:rPr>
          <w:rFonts w:cs="Arial"/>
          <w:bCs/>
          <w:szCs w:val="24"/>
        </w:rPr>
        <w:t>‘</w:t>
      </w:r>
      <w:r w:rsidRPr="008E23BF">
        <w:rPr>
          <w:rFonts w:cs="Arial"/>
          <w:bCs/>
          <w:szCs w:val="24"/>
        </w:rPr>
        <w:t>More in Common</w:t>
      </w:r>
      <w:r w:rsidR="008E23BF">
        <w:rPr>
          <w:rFonts w:cs="Arial"/>
          <w:bCs/>
          <w:szCs w:val="24"/>
        </w:rPr>
        <w:t>’</w:t>
      </w:r>
      <w:bookmarkStart w:id="20" w:name="_GoBack"/>
      <w:bookmarkEnd w:id="20"/>
      <w:r w:rsidRPr="008E23BF">
        <w:rPr>
          <w:rFonts w:cs="Arial"/>
          <w:bCs/>
          <w:szCs w:val="24"/>
        </w:rPr>
        <w:t xml:space="preserve"> </w:t>
      </w:r>
      <w:r>
        <w:rPr>
          <w:rFonts w:cs="Arial"/>
          <w:bCs/>
          <w:szCs w:val="24"/>
        </w:rPr>
        <w:t>would take place the next day and encouraged all to join.</w:t>
      </w:r>
    </w:p>
    <w:p w:rsidR="00B4728E" w:rsidRDefault="00B4728E" w:rsidP="00B4728E">
      <w:pPr>
        <w:spacing w:line="240" w:lineRule="auto"/>
        <w:ind w:left="720" w:hanging="720"/>
        <w:rPr>
          <w:rFonts w:cs="Arial"/>
          <w:bCs/>
          <w:szCs w:val="24"/>
        </w:rPr>
      </w:pPr>
    </w:p>
    <w:p w:rsidR="00B4728E" w:rsidRPr="00CB508F" w:rsidRDefault="00B4728E" w:rsidP="00B4728E">
      <w:pPr>
        <w:spacing w:line="240" w:lineRule="auto"/>
        <w:ind w:left="720" w:hanging="720"/>
        <w:rPr>
          <w:rFonts w:cs="Arial"/>
          <w:bCs/>
          <w:szCs w:val="24"/>
        </w:rPr>
      </w:pPr>
      <w:r>
        <w:rPr>
          <w:rFonts w:cs="Arial"/>
          <w:bCs/>
          <w:szCs w:val="24"/>
        </w:rPr>
        <w:t>9.2</w:t>
      </w:r>
      <w:r>
        <w:rPr>
          <w:rFonts w:cs="Arial"/>
          <w:bCs/>
          <w:szCs w:val="24"/>
        </w:rPr>
        <w:tab/>
      </w:r>
      <w:r w:rsidRPr="007A5069">
        <w:rPr>
          <w:rFonts w:cs="Arial"/>
          <w:bCs/>
          <w:szCs w:val="24"/>
        </w:rPr>
        <w:t xml:space="preserve">Board members were advised that the </w:t>
      </w:r>
      <w:r>
        <w:rPr>
          <w:rFonts w:cs="Arial"/>
          <w:bCs/>
          <w:szCs w:val="24"/>
        </w:rPr>
        <w:t>next</w:t>
      </w:r>
      <w:r w:rsidRPr="007A5069">
        <w:rPr>
          <w:rFonts w:cs="Arial"/>
          <w:bCs/>
          <w:szCs w:val="24"/>
        </w:rPr>
        <w:t xml:space="preserve"> Board meeting would take place </w:t>
      </w:r>
      <w:r>
        <w:rPr>
          <w:rFonts w:cs="Arial"/>
          <w:bCs/>
          <w:szCs w:val="24"/>
        </w:rPr>
        <w:t>virtually</w:t>
      </w:r>
      <w:r w:rsidRPr="007A5069">
        <w:rPr>
          <w:rFonts w:cs="Arial"/>
          <w:bCs/>
          <w:szCs w:val="24"/>
        </w:rPr>
        <w:t xml:space="preserve"> on </w:t>
      </w:r>
      <w:r>
        <w:rPr>
          <w:rFonts w:cs="Arial"/>
          <w:bCs/>
          <w:szCs w:val="24"/>
        </w:rPr>
        <w:t>24</w:t>
      </w:r>
      <w:r w:rsidRPr="007A5069">
        <w:rPr>
          <w:rFonts w:cs="Arial"/>
          <w:bCs/>
          <w:szCs w:val="24"/>
          <w:vertAlign w:val="superscript"/>
        </w:rPr>
        <w:t>th</w:t>
      </w:r>
      <w:r>
        <w:rPr>
          <w:rFonts w:cs="Arial"/>
          <w:bCs/>
          <w:szCs w:val="24"/>
        </w:rPr>
        <w:t xml:space="preserve"> January 2022. </w:t>
      </w:r>
    </w:p>
    <w:bookmarkEnd w:id="6"/>
    <w:p w:rsidR="00005749" w:rsidRPr="00DD3D0F" w:rsidRDefault="00005749" w:rsidP="00DD3D0F">
      <w:pPr>
        <w:rPr>
          <w:bCs/>
        </w:rPr>
      </w:pPr>
    </w:p>
    <w:sectPr w:rsidR="00005749" w:rsidRPr="00DD3D0F" w:rsidSect="00F9517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1A" w:rsidRDefault="00BA471A">
      <w:pPr>
        <w:spacing w:line="240" w:lineRule="auto"/>
      </w:pPr>
      <w:r>
        <w:separator/>
      </w:r>
    </w:p>
  </w:endnote>
  <w:endnote w:type="continuationSeparator" w:id="0">
    <w:p w:rsidR="00BA471A" w:rsidRDefault="00BA4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Pr="00A753C4" w:rsidRDefault="005101DA">
    <w:pPr>
      <w:jc w:val="center"/>
    </w:pPr>
  </w:p>
  <w:p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1499"/>
      <w:docPartObj>
        <w:docPartGallery w:val="Page Numbers (Bottom of Page)"/>
        <w:docPartUnique/>
      </w:docPartObj>
    </w:sdtPr>
    <w:sdtEndPr>
      <w:rPr>
        <w:noProof/>
      </w:rPr>
    </w:sdtEndPr>
    <w:sdtContent>
      <w:p w:rsidR="00F95175" w:rsidRDefault="00F95175">
        <w:pPr>
          <w:pStyle w:val="Footer"/>
          <w:jc w:val="right"/>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sidR="008E23BF">
          <w:rPr>
            <w:rFonts w:ascii="Arial" w:hAnsi="Arial" w:cs="Arial"/>
            <w:noProof/>
            <w:sz w:val="24"/>
            <w:szCs w:val="24"/>
          </w:rPr>
          <w:t>6</w:t>
        </w:r>
        <w:r w:rsidRPr="00F95175">
          <w:rPr>
            <w:rFonts w:ascii="Arial" w:hAnsi="Arial" w:cs="Arial"/>
            <w:noProof/>
            <w:sz w:val="24"/>
            <w:szCs w:val="24"/>
          </w:rPr>
          <w:fldChar w:fldCharType="end"/>
        </w:r>
      </w:p>
    </w:sdtContent>
  </w:sdt>
  <w:p w:rsidR="0027696D" w:rsidRDefault="0027696D" w:rsidP="0027696D">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75759"/>
      <w:docPartObj>
        <w:docPartGallery w:val="Page Numbers (Bottom of Page)"/>
        <w:docPartUnique/>
      </w:docPartObj>
    </w:sdtPr>
    <w:sdtEndPr>
      <w:rPr>
        <w:rFonts w:ascii="Arial" w:hAnsi="Arial" w:cs="Arial"/>
        <w:noProof/>
        <w:sz w:val="24"/>
        <w:szCs w:val="24"/>
      </w:rPr>
    </w:sdtEndPr>
    <w:sdtContent>
      <w:p w:rsidR="00F95175" w:rsidRPr="00F95175" w:rsidRDefault="00F95175">
        <w:pPr>
          <w:pStyle w:val="Footer"/>
          <w:jc w:val="right"/>
          <w:rPr>
            <w:rFonts w:ascii="Arial" w:hAnsi="Arial" w:cs="Arial"/>
            <w:sz w:val="24"/>
            <w:szCs w:val="24"/>
          </w:rPr>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sidR="008E23BF">
          <w:rPr>
            <w:rFonts w:ascii="Arial" w:hAnsi="Arial" w:cs="Arial"/>
            <w:noProof/>
            <w:sz w:val="24"/>
            <w:szCs w:val="24"/>
          </w:rPr>
          <w:t>1</w:t>
        </w:r>
        <w:r w:rsidRPr="00F95175">
          <w:rPr>
            <w:rFonts w:ascii="Arial" w:hAnsi="Arial" w:cs="Arial"/>
            <w:noProof/>
            <w:sz w:val="24"/>
            <w:szCs w:val="24"/>
          </w:rPr>
          <w:fldChar w:fldCharType="end"/>
        </w:r>
      </w:p>
    </w:sdtContent>
  </w:sdt>
  <w:p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1A" w:rsidRDefault="00BA471A">
      <w:pPr>
        <w:spacing w:line="240" w:lineRule="auto"/>
      </w:pPr>
      <w:r>
        <w:separator/>
      </w:r>
    </w:p>
  </w:footnote>
  <w:footnote w:type="continuationSeparator" w:id="0">
    <w:p w:rsidR="00BA471A" w:rsidRDefault="00BA47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rsidP="00670143">
    <w:pPr>
      <w:pStyle w:val="Header"/>
      <w:spacing w:line="240" w:lineRule="auto"/>
      <w:rPr>
        <w:sz w:val="16"/>
        <w:szCs w:val="16"/>
      </w:rPr>
    </w:pPr>
  </w:p>
  <w:p w:rsidR="005101DA" w:rsidRDefault="005101DA" w:rsidP="00670143">
    <w:pPr>
      <w:pStyle w:val="Header"/>
      <w:spacing w:line="240" w:lineRule="auto"/>
      <w:rPr>
        <w:sz w:val="16"/>
        <w:szCs w:val="16"/>
      </w:rPr>
    </w:pPr>
  </w:p>
  <w:p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16" w:rsidRPr="00B33616" w:rsidRDefault="00B33616" w:rsidP="00B33616">
    <w:pPr>
      <w:pStyle w:val="Header"/>
      <w:jc w:val="right"/>
      <w:rPr>
        <w:color w:val="0000FF"/>
        <w:sz w:val="16"/>
        <w:szCs w:val="16"/>
        <w:u w:val="single"/>
      </w:rPr>
    </w:pPr>
  </w:p>
  <w:p w:rsidR="002C1949" w:rsidRDefault="002C1949">
    <w:pPr>
      <w:pStyle w:val="Header"/>
    </w:pPr>
  </w:p>
  <w:p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96" w:rsidRDefault="00011932" w:rsidP="00EB0C96">
    <w:pPr>
      <w:pStyle w:val="Header"/>
      <w:jc w:val="right"/>
    </w:pPr>
    <w:r>
      <w:rPr>
        <w:noProof/>
        <w:lang w:eastAsia="en-GB"/>
      </w:rPr>
      <w:drawing>
        <wp:inline distT="0" distB="0" distL="0" distR="0" wp14:anchorId="54B04483" wp14:editId="21C1B9D4">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4108D"/>
    <w:multiLevelType w:val="hybridMultilevel"/>
    <w:tmpl w:val="6C8E21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8"/>
  </w:num>
  <w:num w:numId="4">
    <w:abstractNumId w:val="12"/>
  </w:num>
  <w:num w:numId="5">
    <w:abstractNumId w:val="6"/>
  </w:num>
  <w:num w:numId="6">
    <w:abstractNumId w:val="2"/>
  </w:num>
  <w:num w:numId="7">
    <w:abstractNumId w:val="5"/>
  </w:num>
  <w:num w:numId="8">
    <w:abstractNumId w:val="10"/>
  </w:num>
  <w:num w:numId="9">
    <w:abstractNumId w:val="13"/>
  </w:num>
  <w:num w:numId="10">
    <w:abstractNumId w:val="3"/>
  </w:num>
  <w:num w:numId="11">
    <w:abstractNumId w:val="15"/>
  </w:num>
  <w:num w:numId="12">
    <w:abstractNumId w:val="11"/>
  </w:num>
  <w:num w:numId="13">
    <w:abstractNumId w:val="1"/>
  </w:num>
  <w:num w:numId="14">
    <w:abstractNumId w:val="4"/>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42"/>
    <w:rsid w:val="000007EE"/>
    <w:rsid w:val="00005749"/>
    <w:rsid w:val="00011932"/>
    <w:rsid w:val="00012B23"/>
    <w:rsid w:val="00037CE7"/>
    <w:rsid w:val="000474E1"/>
    <w:rsid w:val="000775A5"/>
    <w:rsid w:val="0009598B"/>
    <w:rsid w:val="000D2075"/>
    <w:rsid w:val="000F5E3C"/>
    <w:rsid w:val="0012060F"/>
    <w:rsid w:val="00123FB2"/>
    <w:rsid w:val="00125423"/>
    <w:rsid w:val="0012613C"/>
    <w:rsid w:val="00142A0B"/>
    <w:rsid w:val="001A36C8"/>
    <w:rsid w:val="001C19CF"/>
    <w:rsid w:val="001D7828"/>
    <w:rsid w:val="001E45CD"/>
    <w:rsid w:val="00200263"/>
    <w:rsid w:val="00203337"/>
    <w:rsid w:val="00207576"/>
    <w:rsid w:val="002114A1"/>
    <w:rsid w:val="00226C42"/>
    <w:rsid w:val="00234C2D"/>
    <w:rsid w:val="00242308"/>
    <w:rsid w:val="00254809"/>
    <w:rsid w:val="00261700"/>
    <w:rsid w:val="0026226F"/>
    <w:rsid w:val="0027696D"/>
    <w:rsid w:val="002954B0"/>
    <w:rsid w:val="002962C4"/>
    <w:rsid w:val="00296E9E"/>
    <w:rsid w:val="002C1949"/>
    <w:rsid w:val="002C619C"/>
    <w:rsid w:val="0032599E"/>
    <w:rsid w:val="00327D38"/>
    <w:rsid w:val="00335708"/>
    <w:rsid w:val="00375E7E"/>
    <w:rsid w:val="003B7CE8"/>
    <w:rsid w:val="003C36A7"/>
    <w:rsid w:val="003D41BA"/>
    <w:rsid w:val="00407DEB"/>
    <w:rsid w:val="004211D5"/>
    <w:rsid w:val="0043243E"/>
    <w:rsid w:val="00484AAE"/>
    <w:rsid w:val="00494127"/>
    <w:rsid w:val="004B0BB6"/>
    <w:rsid w:val="004D70D7"/>
    <w:rsid w:val="004F5A86"/>
    <w:rsid w:val="005101DA"/>
    <w:rsid w:val="0051471D"/>
    <w:rsid w:val="00522D8D"/>
    <w:rsid w:val="00534703"/>
    <w:rsid w:val="00554086"/>
    <w:rsid w:val="00580D4D"/>
    <w:rsid w:val="00581881"/>
    <w:rsid w:val="005A6496"/>
    <w:rsid w:val="005F633E"/>
    <w:rsid w:val="00670143"/>
    <w:rsid w:val="0069086B"/>
    <w:rsid w:val="00695F0F"/>
    <w:rsid w:val="006A0D89"/>
    <w:rsid w:val="006B1EB6"/>
    <w:rsid w:val="006C59A5"/>
    <w:rsid w:val="006F24FD"/>
    <w:rsid w:val="007007F4"/>
    <w:rsid w:val="00710ED1"/>
    <w:rsid w:val="00711F63"/>
    <w:rsid w:val="00712F0F"/>
    <w:rsid w:val="0072328F"/>
    <w:rsid w:val="00762AAD"/>
    <w:rsid w:val="007A3B6B"/>
    <w:rsid w:val="008121AE"/>
    <w:rsid w:val="00885CFD"/>
    <w:rsid w:val="0089287F"/>
    <w:rsid w:val="008A0189"/>
    <w:rsid w:val="008A30BF"/>
    <w:rsid w:val="008E23BF"/>
    <w:rsid w:val="008E75BC"/>
    <w:rsid w:val="00903FE5"/>
    <w:rsid w:val="009057C4"/>
    <w:rsid w:val="00913B6B"/>
    <w:rsid w:val="00920A2D"/>
    <w:rsid w:val="00944D99"/>
    <w:rsid w:val="00951217"/>
    <w:rsid w:val="00970D9B"/>
    <w:rsid w:val="00983033"/>
    <w:rsid w:val="009915DF"/>
    <w:rsid w:val="009D1AE8"/>
    <w:rsid w:val="009E26B3"/>
    <w:rsid w:val="009F0805"/>
    <w:rsid w:val="009F54C9"/>
    <w:rsid w:val="009F67B6"/>
    <w:rsid w:val="00A0125E"/>
    <w:rsid w:val="00A03BEC"/>
    <w:rsid w:val="00A07753"/>
    <w:rsid w:val="00A14805"/>
    <w:rsid w:val="00A15A89"/>
    <w:rsid w:val="00A41EA4"/>
    <w:rsid w:val="00A80B85"/>
    <w:rsid w:val="00AC1512"/>
    <w:rsid w:val="00AD21A3"/>
    <w:rsid w:val="00B218B9"/>
    <w:rsid w:val="00B33616"/>
    <w:rsid w:val="00B4421E"/>
    <w:rsid w:val="00B4728E"/>
    <w:rsid w:val="00B6164A"/>
    <w:rsid w:val="00B63F05"/>
    <w:rsid w:val="00B64BD8"/>
    <w:rsid w:val="00B737F7"/>
    <w:rsid w:val="00B8270B"/>
    <w:rsid w:val="00BA471A"/>
    <w:rsid w:val="00BA5E0F"/>
    <w:rsid w:val="00BA6011"/>
    <w:rsid w:val="00BB13E3"/>
    <w:rsid w:val="00BC1E0B"/>
    <w:rsid w:val="00BE7F65"/>
    <w:rsid w:val="00C24E96"/>
    <w:rsid w:val="00C26793"/>
    <w:rsid w:val="00C353ED"/>
    <w:rsid w:val="00C41618"/>
    <w:rsid w:val="00C761D3"/>
    <w:rsid w:val="00CF09F7"/>
    <w:rsid w:val="00D005C5"/>
    <w:rsid w:val="00D16475"/>
    <w:rsid w:val="00D56859"/>
    <w:rsid w:val="00D573C8"/>
    <w:rsid w:val="00D76033"/>
    <w:rsid w:val="00DD1434"/>
    <w:rsid w:val="00DD3D0F"/>
    <w:rsid w:val="00DE683C"/>
    <w:rsid w:val="00E22625"/>
    <w:rsid w:val="00E245A5"/>
    <w:rsid w:val="00E37623"/>
    <w:rsid w:val="00E71628"/>
    <w:rsid w:val="00E755CA"/>
    <w:rsid w:val="00E9425F"/>
    <w:rsid w:val="00EB0C96"/>
    <w:rsid w:val="00EC3DA0"/>
    <w:rsid w:val="00EF6AC6"/>
    <w:rsid w:val="00F23E73"/>
    <w:rsid w:val="00F25719"/>
    <w:rsid w:val="00F34E6D"/>
    <w:rsid w:val="00F35CA1"/>
    <w:rsid w:val="00F479D8"/>
    <w:rsid w:val="00F51FF0"/>
    <w:rsid w:val="00F533A8"/>
    <w:rsid w:val="00F6594F"/>
    <w:rsid w:val="00F81875"/>
    <w:rsid w:val="00F86E07"/>
    <w:rsid w:val="00F95175"/>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A321"/>
  <w15:chartTrackingRefBased/>
  <w15:docId w15:val="{3F851994-141E-4A63-9877-2BB21D25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AC1512"/>
    <w:pPr>
      <w:tabs>
        <w:tab w:val="left" w:pos="1985"/>
        <w:tab w:val="right" w:leader="dot" w:pos="9016"/>
      </w:tabs>
      <w:spacing w:after="100"/>
      <w:ind w:left="426"/>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styleId="Footer">
    <w:name w:val="footer"/>
    <w:basedOn w:val="Normal"/>
    <w:link w:val="FooterChar"/>
    <w:uiPriority w:val="99"/>
    <w:unhideWhenUsed/>
    <w:rsid w:val="00F95175"/>
    <w:pPr>
      <w:tabs>
        <w:tab w:val="center" w:pos="4680"/>
        <w:tab w:val="right" w:pos="9360"/>
      </w:tabs>
      <w:spacing w:line="240" w:lineRule="auto"/>
    </w:pPr>
    <w:rPr>
      <w:rFonts w:asciiTheme="minorHAnsi" w:eastAsiaTheme="minorEastAsia" w:hAnsiTheme="minorHAnsi"/>
      <w:sz w:val="22"/>
      <w:lang w:val="en-US"/>
    </w:rPr>
  </w:style>
  <w:style w:type="character" w:customStyle="1" w:styleId="FooterChar">
    <w:name w:val="Footer Char"/>
    <w:basedOn w:val="DefaultParagraphFont"/>
    <w:link w:val="Footer"/>
    <w:uiPriority w:val="99"/>
    <w:rsid w:val="00F95175"/>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3.xml><?xml version="1.0" encoding="utf-8"?>
<ds:datastoreItem xmlns:ds="http://schemas.openxmlformats.org/officeDocument/2006/customXml" ds:itemID="{3DC23CD4-53A2-4EFC-9349-A8C4853FD58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5EB2BE3-54C7-423C-B164-C5F89845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 (1)</Template>
  <TotalTime>2</TotalTime>
  <Pages>6</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Lisa Ainley</cp:lastModifiedBy>
  <cp:revision>3</cp:revision>
  <dcterms:created xsi:type="dcterms:W3CDTF">2022-01-25T15:32:00Z</dcterms:created>
  <dcterms:modified xsi:type="dcterms:W3CDTF">2022-01-26T14:04:00Z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