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11F" w:rsidRPr="00036F32" w:rsidRDefault="00BD0D79" w:rsidP="00A920FD">
      <w:pPr>
        <w:pStyle w:val="Title"/>
      </w:pPr>
      <w:r w:rsidRPr="00036F32">
        <w:t xml:space="preserve">Minutes of the </w:t>
      </w:r>
      <w:r w:rsidR="00330E69" w:rsidRPr="00036F32">
        <w:t>8</w:t>
      </w:r>
      <w:r w:rsidR="00A71C48" w:rsidRPr="00036F32">
        <w:t>3rd</w:t>
      </w:r>
      <w:r w:rsidR="00236B13" w:rsidRPr="00036F32">
        <w:t xml:space="preserve"> </w:t>
      </w:r>
      <w:r w:rsidR="0058711F" w:rsidRPr="00036F32">
        <w:t>meeting of the Board of the E</w:t>
      </w:r>
      <w:r w:rsidR="00AA3F40" w:rsidRPr="00036F32">
        <w:t>HRC</w:t>
      </w:r>
    </w:p>
    <w:p w:rsidR="00E72C89" w:rsidRPr="008810FB" w:rsidRDefault="00E72C89" w:rsidP="00036F32">
      <w:pPr>
        <w:pStyle w:val="Title"/>
      </w:pPr>
    </w:p>
    <w:p w:rsidR="008E2E65" w:rsidRPr="008810FB" w:rsidRDefault="00A71C48" w:rsidP="00036F32">
      <w:r>
        <w:t>22</w:t>
      </w:r>
      <w:r w:rsidR="00236B13" w:rsidRPr="008810FB">
        <w:t xml:space="preserve"> </w:t>
      </w:r>
      <w:r w:rsidR="00E94D15">
        <w:t>Ma</w:t>
      </w:r>
      <w:r>
        <w:t>y</w:t>
      </w:r>
      <w:r w:rsidR="007579AB" w:rsidRPr="008810FB">
        <w:t xml:space="preserve"> 2019</w:t>
      </w:r>
    </w:p>
    <w:p w:rsidR="0058711F" w:rsidRPr="008810FB" w:rsidRDefault="0058711F" w:rsidP="00036F32">
      <w:r w:rsidRPr="008810FB">
        <w:t>Fleetbank House, 2-6 Salisbury Square, London, EC4Y 8JX</w:t>
      </w:r>
    </w:p>
    <w:p w:rsidR="00661F73" w:rsidRPr="008810FB" w:rsidRDefault="00661F73" w:rsidP="00E72C89"/>
    <w:p w:rsidR="00201CF4" w:rsidRPr="008810FB" w:rsidRDefault="00201CF4" w:rsidP="00E72C89"/>
    <w:p w:rsidR="0058711F" w:rsidRPr="00A920FD" w:rsidRDefault="0058711F" w:rsidP="00A920FD">
      <w:pPr>
        <w:pStyle w:val="Heading1"/>
        <w:rPr>
          <w:rStyle w:val="Emphasis"/>
        </w:rPr>
      </w:pPr>
      <w:r w:rsidRPr="00A920FD">
        <w:t>Attending:</w:t>
      </w:r>
    </w:p>
    <w:p w:rsidR="00201CF4" w:rsidRPr="008810FB" w:rsidRDefault="00201CF4" w:rsidP="00036F32"/>
    <w:p w:rsidR="0058711F" w:rsidRPr="00A920FD" w:rsidRDefault="0058711F" w:rsidP="00A920FD">
      <w:pPr>
        <w:pStyle w:val="Heading2"/>
      </w:pPr>
      <w:r w:rsidRPr="00A920FD">
        <w:t>Commissioners</w:t>
      </w:r>
    </w:p>
    <w:p w:rsidR="0058711F" w:rsidRPr="008810FB" w:rsidRDefault="0058711F" w:rsidP="00036F32">
      <w:r w:rsidRPr="008810FB">
        <w:t>David Isaac, Chair</w:t>
      </w:r>
    </w:p>
    <w:p w:rsidR="006160E5" w:rsidRPr="008810FB" w:rsidRDefault="006160E5" w:rsidP="00036F32">
      <w:r w:rsidRPr="008810FB">
        <w:t>Suzanne Baxter</w:t>
      </w:r>
    </w:p>
    <w:p w:rsidR="00680D6E" w:rsidRPr="008810FB" w:rsidRDefault="00680D6E" w:rsidP="00036F32">
      <w:r w:rsidRPr="008810FB">
        <w:t>Pavita Cooper</w:t>
      </w:r>
    </w:p>
    <w:p w:rsidR="009E07EC" w:rsidRDefault="009E07EC" w:rsidP="00036F32">
      <w:r>
        <w:t>Alasdair Henderson</w:t>
      </w:r>
    </w:p>
    <w:p w:rsidR="0058711F" w:rsidRPr="008810FB" w:rsidRDefault="0058711F" w:rsidP="00036F32">
      <w:r w:rsidRPr="008810FB">
        <w:t>Susan Johnson</w:t>
      </w:r>
    </w:p>
    <w:p w:rsidR="006160E5" w:rsidRPr="008810FB" w:rsidRDefault="00417E98" w:rsidP="00036F32">
      <w:r w:rsidRPr="008810FB">
        <w:t xml:space="preserve">Helen Mahy </w:t>
      </w:r>
    </w:p>
    <w:p w:rsidR="0058711F" w:rsidRPr="008810FB" w:rsidRDefault="0058711F" w:rsidP="00036F32">
      <w:r w:rsidRPr="008810FB">
        <w:t>June Milligan</w:t>
      </w:r>
    </w:p>
    <w:p w:rsidR="00A71C48" w:rsidRDefault="00A71C48" w:rsidP="00036F32">
      <w:r>
        <w:t>Lesley Sawers</w:t>
      </w:r>
    </w:p>
    <w:p w:rsidR="008810FB" w:rsidRPr="008810FB" w:rsidRDefault="008810FB" w:rsidP="00036F32">
      <w:r w:rsidRPr="008810FB">
        <w:t>Swaran Singh</w:t>
      </w:r>
      <w:r w:rsidR="003A7F75">
        <w:t xml:space="preserve"> </w:t>
      </w:r>
    </w:p>
    <w:p w:rsidR="0058711F" w:rsidRPr="008810FB" w:rsidRDefault="0058711F" w:rsidP="00036F32">
      <w:r w:rsidRPr="008810FB">
        <w:t>Rebecca Hilsenrath, Chief Executive Officer</w:t>
      </w:r>
      <w:r w:rsidR="00916684">
        <w:t xml:space="preserve"> (items 1-7</w:t>
      </w:r>
      <w:r w:rsidR="00A13D0B">
        <w:t>; 9</w:t>
      </w:r>
      <w:r w:rsidR="00A71C48">
        <w:t>-1</w:t>
      </w:r>
      <w:r w:rsidR="00916684">
        <w:t>2</w:t>
      </w:r>
      <w:r w:rsidR="00A71C48">
        <w:t>)</w:t>
      </w:r>
    </w:p>
    <w:p w:rsidR="0058711F" w:rsidRPr="008810FB" w:rsidRDefault="0058711F" w:rsidP="00036F32"/>
    <w:p w:rsidR="0058711F" w:rsidRPr="008810FB" w:rsidRDefault="0058711F" w:rsidP="00036F32">
      <w:pPr>
        <w:pStyle w:val="Heading2"/>
      </w:pPr>
      <w:r w:rsidRPr="008810FB">
        <w:t>Officers</w:t>
      </w:r>
    </w:p>
    <w:p w:rsidR="00A13D0B" w:rsidRDefault="00A13D0B" w:rsidP="00036F32">
      <w:r>
        <w:t>Clare Collier, Director – Legal (item 8)</w:t>
      </w:r>
    </w:p>
    <w:p w:rsidR="008810FB" w:rsidRPr="008810FB" w:rsidRDefault="008810FB" w:rsidP="00036F32">
      <w:r w:rsidRPr="008810FB">
        <w:t>Melanie Field, Executive Director – Strategy and Policy and Wales</w:t>
      </w:r>
      <w:r w:rsidR="00916684">
        <w:t xml:space="preserve"> (items 1-7</w:t>
      </w:r>
      <w:r w:rsidR="00A13D0B">
        <w:t>; 9</w:t>
      </w:r>
      <w:r w:rsidR="00916684">
        <w:t>-12)</w:t>
      </w:r>
    </w:p>
    <w:p w:rsidR="008810FB" w:rsidRPr="008810FB" w:rsidRDefault="008810FB" w:rsidP="00036F32">
      <w:r w:rsidRPr="008810FB">
        <w:t>Richard Mabbitt, Senior Associate - Corporate Governance</w:t>
      </w:r>
      <w:r w:rsidR="00916684">
        <w:t xml:space="preserve"> (items 1-7</w:t>
      </w:r>
      <w:r w:rsidR="00A13D0B">
        <w:t xml:space="preserve">; </w:t>
      </w:r>
      <w:r w:rsidR="00916684">
        <w:t>8-12)</w:t>
      </w:r>
    </w:p>
    <w:p w:rsidR="008810FB" w:rsidRPr="009E07EC" w:rsidRDefault="008810FB" w:rsidP="00036F32">
      <w:r w:rsidRPr="009E07EC">
        <w:t>Callum MacInnes, Principal – Corporate Governance</w:t>
      </w:r>
      <w:r w:rsidR="00916684">
        <w:t xml:space="preserve"> (items 1-7</w:t>
      </w:r>
      <w:r w:rsidR="00A13D0B">
        <w:t>; 9</w:t>
      </w:r>
      <w:r w:rsidR="00916684">
        <w:t>-12)</w:t>
      </w:r>
    </w:p>
    <w:p w:rsidR="00421423" w:rsidRPr="009E07EC" w:rsidRDefault="00ED28B0" w:rsidP="00036F32">
      <w:r w:rsidRPr="009E07EC">
        <w:t xml:space="preserve">Olufemi Oguntunde, Director - </w:t>
      </w:r>
      <w:r w:rsidR="00421423" w:rsidRPr="009E07EC">
        <w:t>Financ</w:t>
      </w:r>
      <w:r w:rsidR="002F5DB9" w:rsidRPr="009E07EC">
        <w:t>e and Procurement</w:t>
      </w:r>
      <w:r w:rsidR="00F911AD" w:rsidRPr="009E07EC">
        <w:t xml:space="preserve"> </w:t>
      </w:r>
      <w:r w:rsidR="00916684">
        <w:t>(items 1-7</w:t>
      </w:r>
      <w:r w:rsidR="00A13D0B">
        <w:t xml:space="preserve"> and 9</w:t>
      </w:r>
      <w:r w:rsidR="00916684">
        <w:t>-12)</w:t>
      </w:r>
    </w:p>
    <w:p w:rsidR="009E07EC" w:rsidRDefault="009E07EC" w:rsidP="00036F32">
      <w:r>
        <w:t>Alastair Pringle, Executive Director – Corporate Delivery</w:t>
      </w:r>
      <w:r w:rsidR="00916684">
        <w:t xml:space="preserve"> </w:t>
      </w:r>
    </w:p>
    <w:p w:rsidR="007579AB" w:rsidRPr="009E07EC" w:rsidRDefault="007579AB" w:rsidP="00036F32">
      <w:r w:rsidRPr="009E07EC">
        <w:t>Paola Uccellari, Director – Strategic Planning and Policy</w:t>
      </w:r>
      <w:r w:rsidR="00C402AE" w:rsidRPr="009E07EC">
        <w:t xml:space="preserve"> </w:t>
      </w:r>
      <w:r w:rsidR="00916684">
        <w:t>(items 1-7</w:t>
      </w:r>
      <w:r w:rsidR="00A13D0B">
        <w:t xml:space="preserve"> and 9</w:t>
      </w:r>
      <w:r w:rsidR="00916684">
        <w:t xml:space="preserve">-12) </w:t>
      </w:r>
    </w:p>
    <w:p w:rsidR="00BD0D79" w:rsidRPr="009E07EC" w:rsidRDefault="009E07EC" w:rsidP="00036F32">
      <w:r w:rsidRPr="009E07EC">
        <w:t>Ben Wilson, Executive Director, Corporate Improvement and Impact</w:t>
      </w:r>
      <w:r w:rsidR="00916684">
        <w:t xml:space="preserve"> (items 1-7</w:t>
      </w:r>
      <w:r w:rsidR="00A13D0B">
        <w:t xml:space="preserve"> and 9</w:t>
      </w:r>
      <w:r w:rsidR="00916684">
        <w:t>-12)</w:t>
      </w:r>
    </w:p>
    <w:p w:rsidR="009E07EC" w:rsidRDefault="009E07EC" w:rsidP="00036F32"/>
    <w:p w:rsidR="009E07EC" w:rsidRDefault="009E07EC" w:rsidP="00036F32">
      <w:pPr>
        <w:pStyle w:val="Heading2"/>
      </w:pPr>
      <w:r>
        <w:t>Guest</w:t>
      </w:r>
    </w:p>
    <w:p w:rsidR="009E07EC" w:rsidRPr="009E07EC" w:rsidRDefault="009E07EC" w:rsidP="00036F32">
      <w:r>
        <w:t xml:space="preserve">Rachel Perkins, Chair of EHRC Disability Advisory Committee </w:t>
      </w:r>
      <w:r w:rsidR="00916684">
        <w:t>(items 1-7)</w:t>
      </w:r>
    </w:p>
    <w:p w:rsidR="009E07EC" w:rsidRDefault="009E07EC" w:rsidP="00036F32"/>
    <w:p w:rsidR="0058711F" w:rsidRPr="008810FB" w:rsidRDefault="0058711F" w:rsidP="00036F32">
      <w:pPr>
        <w:pStyle w:val="Heading2"/>
      </w:pPr>
      <w:r w:rsidRPr="008810FB">
        <w:t>Observing</w:t>
      </w:r>
    </w:p>
    <w:p w:rsidR="009E07EC" w:rsidRDefault="009E07EC" w:rsidP="00036F32">
      <w:r>
        <w:t>Charles Ramsden, Government Equalities Office</w:t>
      </w:r>
      <w:r w:rsidR="00A13D0B">
        <w:t xml:space="preserve"> (items 1-7)</w:t>
      </w:r>
    </w:p>
    <w:p w:rsidR="009E07EC" w:rsidRDefault="009E07EC" w:rsidP="00680D6E"/>
    <w:p w:rsidR="008E2E65" w:rsidRPr="0038546A" w:rsidRDefault="008E2E65" w:rsidP="00E72C89">
      <w:pPr>
        <w:rPr>
          <w:highlight w:val="yellow"/>
        </w:rPr>
      </w:pPr>
    </w:p>
    <w:p w:rsidR="0058711F" w:rsidRPr="006D5CE2" w:rsidRDefault="0058711F" w:rsidP="00036F32">
      <w:pPr>
        <w:pStyle w:val="Heading1"/>
      </w:pPr>
      <w:r w:rsidRPr="006D5CE2">
        <w:t>1.</w:t>
      </w:r>
      <w:r w:rsidRPr="006D5CE2">
        <w:tab/>
        <w:t>Chair’s welcome, attendance and apologies for absence</w:t>
      </w:r>
    </w:p>
    <w:p w:rsidR="0058711F" w:rsidRPr="006D5CE2" w:rsidRDefault="0058711F" w:rsidP="00036F32"/>
    <w:p w:rsidR="001E3467" w:rsidRDefault="00036F32" w:rsidP="00036F32">
      <w:pPr>
        <w:ind w:left="720" w:hanging="720"/>
      </w:pPr>
      <w:r>
        <w:t>1.1</w:t>
      </w:r>
      <w:r>
        <w:tab/>
      </w:r>
      <w:r w:rsidR="00867C69" w:rsidRPr="006D5CE2">
        <w:t>David Isaac welcomed attendees</w:t>
      </w:r>
      <w:r w:rsidR="00690BF6" w:rsidRPr="006D5CE2">
        <w:t xml:space="preserve">. </w:t>
      </w:r>
    </w:p>
    <w:p w:rsidR="001E3467" w:rsidRDefault="001E3467" w:rsidP="00036F32">
      <w:pPr>
        <w:ind w:left="720" w:hanging="720"/>
      </w:pPr>
    </w:p>
    <w:p w:rsidR="00896605" w:rsidRDefault="00036F32" w:rsidP="00036F32">
      <w:pPr>
        <w:ind w:left="720" w:hanging="720"/>
      </w:pPr>
      <w:r>
        <w:t>1.2</w:t>
      </w:r>
      <w:r>
        <w:tab/>
      </w:r>
      <w:r w:rsidR="001E3467">
        <w:t>At t</w:t>
      </w:r>
      <w:r w:rsidR="00E46030">
        <w:t xml:space="preserve">he Commissioners-only session </w:t>
      </w:r>
      <w:r w:rsidR="001E3467">
        <w:t xml:space="preserve">preceding the meeting, </w:t>
      </w:r>
      <w:r w:rsidR="00896605">
        <w:t>Commissioners had expressed their thanks to June Milligan who</w:t>
      </w:r>
      <w:r w:rsidR="007A1DF8">
        <w:t>,</w:t>
      </w:r>
      <w:r w:rsidR="00896605">
        <w:t xml:space="preserve"> having served </w:t>
      </w:r>
      <w:r w:rsidR="007713B7">
        <w:t xml:space="preserve">three years as a Commissioner, </w:t>
      </w:r>
      <w:r w:rsidR="00896605">
        <w:t xml:space="preserve">had decided to step down from </w:t>
      </w:r>
      <w:r w:rsidR="003918ED">
        <w:t>this</w:t>
      </w:r>
      <w:r w:rsidR="00896605">
        <w:t xml:space="preserve"> role following the meeting. Board members acknowledged he</w:t>
      </w:r>
      <w:r w:rsidR="007A1DF8">
        <w:t>r contributions as Commissioner</w:t>
      </w:r>
      <w:r w:rsidR="00896605">
        <w:t xml:space="preserve"> and as Chair of the Wales Committee and </w:t>
      </w:r>
      <w:r w:rsidR="007713B7">
        <w:t>wished her well for the future.</w:t>
      </w:r>
    </w:p>
    <w:p w:rsidR="003575B4" w:rsidRDefault="003575B4" w:rsidP="00036F32">
      <w:pPr>
        <w:ind w:left="720" w:hanging="720"/>
      </w:pPr>
    </w:p>
    <w:p w:rsidR="005077D5" w:rsidRDefault="00036F32" w:rsidP="00036F32">
      <w:pPr>
        <w:ind w:left="720" w:hanging="720"/>
      </w:pPr>
      <w:r>
        <w:t>1.3</w:t>
      </w:r>
      <w:r>
        <w:tab/>
      </w:r>
      <w:r w:rsidR="003575B4">
        <w:t xml:space="preserve">The Board had agreed that Alasdair Henderson should chair the Commissioner Working Group </w:t>
      </w:r>
      <w:r w:rsidR="003B707A">
        <w:t>on Treaty M</w:t>
      </w:r>
      <w:r w:rsidR="003575B4">
        <w:t>onitoring after June Milligan</w:t>
      </w:r>
      <w:r w:rsidR="005077D5">
        <w:t>’</w:t>
      </w:r>
      <w:r w:rsidR="007A1DF8">
        <w:t>s d</w:t>
      </w:r>
      <w:r w:rsidR="003575B4">
        <w:t>eparture.</w:t>
      </w:r>
      <w:r w:rsidR="005077D5">
        <w:t xml:space="preserve"> </w:t>
      </w:r>
      <w:r w:rsidR="003575B4">
        <w:t>The Board had agreed that</w:t>
      </w:r>
      <w:r w:rsidR="005077D5">
        <w:t>, as an interim measure while the appointment process for a new Wales Commissioner was under way,</w:t>
      </w:r>
      <w:r w:rsidR="003575B4">
        <w:t xml:space="preserve"> the current vice-Ch</w:t>
      </w:r>
      <w:r w:rsidR="005077D5">
        <w:t>a</w:t>
      </w:r>
      <w:r w:rsidR="003575B4">
        <w:t>ir of the Wales Committee, Alison Parken</w:t>
      </w:r>
      <w:r w:rsidR="003B707A">
        <w:t>,</w:t>
      </w:r>
      <w:r w:rsidR="003575B4">
        <w:t xml:space="preserve"> should step</w:t>
      </w:r>
      <w:r w:rsidR="005077D5">
        <w:t xml:space="preserve"> up to chair the Committee, </w:t>
      </w:r>
      <w:r w:rsidR="003575B4">
        <w:t>attend Board meetings</w:t>
      </w:r>
      <w:r w:rsidR="003B707A">
        <w:t>,</w:t>
      </w:r>
      <w:r w:rsidR="003575B4">
        <w:t xml:space="preserve"> </w:t>
      </w:r>
      <w:r w:rsidR="005077D5">
        <w:t>and carry out some stakeholder commitments that would normally be carried out by the Wales Commissioner.</w:t>
      </w:r>
    </w:p>
    <w:p w:rsidR="003A41F9" w:rsidRDefault="003A41F9" w:rsidP="00036F32">
      <w:pPr>
        <w:ind w:left="720" w:hanging="720"/>
      </w:pPr>
    </w:p>
    <w:p w:rsidR="005077D5" w:rsidRDefault="005077D5" w:rsidP="00036F32">
      <w:pPr>
        <w:ind w:left="720" w:hanging="720"/>
        <w:rPr>
          <w:rFonts w:cs="Arial"/>
        </w:rPr>
      </w:pPr>
      <w:r>
        <w:t>1.4</w:t>
      </w:r>
      <w:r>
        <w:tab/>
        <w:t>The Board had also discussed the current protests at Anderton Park School, Birmingham</w:t>
      </w:r>
      <w:r w:rsidR="003B707A">
        <w:t>,</w:t>
      </w:r>
      <w:r>
        <w:t xml:space="preserve"> about teaching on LGBT rights. Rebecca Hilsenrath reported a positive meeting with Jess Philips </w:t>
      </w:r>
      <w:r w:rsidR="003B707A">
        <w:t xml:space="preserve">MP </w:t>
      </w:r>
      <w:r>
        <w:t>on this</w:t>
      </w:r>
      <w:r w:rsidR="003B707A">
        <w:t>.</w:t>
      </w:r>
      <w:r>
        <w:t xml:space="preserve"> The Board agreed that in responding to this issue, the Commission needed to acknowledge the </w:t>
      </w:r>
      <w:r>
        <w:rPr>
          <w:rFonts w:cs="Arial"/>
        </w:rPr>
        <w:t xml:space="preserve">growing divisions in our society, and that schools played an important part in shaping children’s attitudes and can guard against prejudice developing. The Commission </w:t>
      </w:r>
      <w:r w:rsidR="007F226C">
        <w:rPr>
          <w:rFonts w:cs="Arial"/>
        </w:rPr>
        <w:t xml:space="preserve">should be clear that it </w:t>
      </w:r>
      <w:r>
        <w:rPr>
          <w:rFonts w:cs="Arial"/>
        </w:rPr>
        <w:t xml:space="preserve">wanted schools to be inclusive places where diverse children with different beliefs and backgrounds mix and shared values are developed. </w:t>
      </w:r>
      <w:r w:rsidR="007F226C">
        <w:rPr>
          <w:rFonts w:cs="Arial"/>
        </w:rPr>
        <w:t xml:space="preserve">The Commission supported </w:t>
      </w:r>
      <w:r>
        <w:rPr>
          <w:rFonts w:cs="Arial"/>
        </w:rPr>
        <w:t xml:space="preserve">education </w:t>
      </w:r>
      <w:r w:rsidR="007F226C">
        <w:rPr>
          <w:rFonts w:cs="Arial"/>
        </w:rPr>
        <w:t>that instilled</w:t>
      </w:r>
      <w:r>
        <w:rPr>
          <w:rFonts w:cs="Arial"/>
        </w:rPr>
        <w:t xml:space="preserve"> understanding of and respect for difference, to create engaged citizens equipped for the 21</w:t>
      </w:r>
      <w:r>
        <w:rPr>
          <w:rFonts w:cs="Arial"/>
          <w:vertAlign w:val="superscript"/>
        </w:rPr>
        <w:t>st</w:t>
      </w:r>
      <w:r>
        <w:rPr>
          <w:rFonts w:cs="Arial"/>
        </w:rPr>
        <w:t xml:space="preserve"> Century who value</w:t>
      </w:r>
      <w:r w:rsidR="003B707A">
        <w:rPr>
          <w:rFonts w:cs="Arial"/>
        </w:rPr>
        <w:t>d</w:t>
      </w:r>
      <w:r>
        <w:rPr>
          <w:rFonts w:cs="Arial"/>
        </w:rPr>
        <w:t xml:space="preserve"> equality and human rights and each other.</w:t>
      </w:r>
    </w:p>
    <w:p w:rsidR="005077D5" w:rsidRDefault="005077D5" w:rsidP="00036F32">
      <w:pPr>
        <w:ind w:left="720" w:hanging="720"/>
        <w:rPr>
          <w:rFonts w:cs="Arial"/>
        </w:rPr>
      </w:pPr>
    </w:p>
    <w:p w:rsidR="009B6C45" w:rsidRPr="003B707A" w:rsidRDefault="00036F32" w:rsidP="00036F32">
      <w:pPr>
        <w:ind w:left="720" w:hanging="720"/>
        <w:rPr>
          <w:rFonts w:cs="Arial"/>
          <w:sz w:val="28"/>
          <w:szCs w:val="28"/>
        </w:rPr>
      </w:pPr>
      <w:r>
        <w:rPr>
          <w:rFonts w:cs="Arial"/>
        </w:rPr>
        <w:t>1.5</w:t>
      </w:r>
      <w:r>
        <w:rPr>
          <w:rFonts w:cs="Arial"/>
        </w:rPr>
        <w:tab/>
      </w:r>
      <w:r w:rsidR="009E07EC" w:rsidRPr="003B707A">
        <w:rPr>
          <w:rFonts w:cs="Arial"/>
        </w:rPr>
        <w:t xml:space="preserve">Before the meeting Commissioners </w:t>
      </w:r>
      <w:r w:rsidR="005077D5" w:rsidRPr="003B707A">
        <w:rPr>
          <w:rFonts w:cs="Arial"/>
        </w:rPr>
        <w:t xml:space="preserve">had </w:t>
      </w:r>
      <w:r w:rsidR="009E07EC" w:rsidRPr="003B707A">
        <w:rPr>
          <w:rFonts w:cs="Arial"/>
        </w:rPr>
        <w:t>also discussed Board Championship (</w:t>
      </w:r>
      <w:r w:rsidR="009E07EC" w:rsidRPr="003B707A">
        <w:rPr>
          <w:rFonts w:cs="Arial"/>
          <w:u w:val="single"/>
        </w:rPr>
        <w:t>Discussion Paper: Board Champions</w:t>
      </w:r>
      <w:r w:rsidR="009E07EC" w:rsidRPr="003B707A">
        <w:rPr>
          <w:rFonts w:cs="Arial"/>
        </w:rPr>
        <w:t xml:space="preserve"> refers)</w:t>
      </w:r>
      <w:r w:rsidR="00916684" w:rsidRPr="003B707A">
        <w:rPr>
          <w:rFonts w:cs="Arial"/>
        </w:rPr>
        <w:t xml:space="preserve"> with Paola Uccellari</w:t>
      </w:r>
      <w:r w:rsidR="00EB0F74" w:rsidRPr="003B707A">
        <w:rPr>
          <w:rFonts w:cs="Arial"/>
        </w:rPr>
        <w:t>,</w:t>
      </w:r>
      <w:r w:rsidR="00916684" w:rsidRPr="003B707A">
        <w:rPr>
          <w:rFonts w:cs="Arial"/>
        </w:rPr>
        <w:t xml:space="preserve"> Melanie Field and Callum MacInnes.</w:t>
      </w:r>
      <w:r w:rsidR="00FD58E0" w:rsidRPr="003B707A">
        <w:rPr>
          <w:rFonts w:cs="Arial"/>
        </w:rPr>
        <w:t xml:space="preserve"> </w:t>
      </w:r>
      <w:r w:rsidR="009B6C45" w:rsidRPr="003B707A">
        <w:rPr>
          <w:rFonts w:cs="Arial"/>
        </w:rPr>
        <w:t xml:space="preserve">Feedback was recorded by officers and the Board agreed amendments to the Board Buddying framework to better harness the skills and expertise of Board members in support of the delivery of the Strategic Plan. Officers would provide further clarification about the activities that were planned to be carried out under each of the aims and seek expressions of interest from Commissioners with a view to identifying strategic aim champions. </w:t>
      </w:r>
      <w:r w:rsidR="009B6C45" w:rsidRPr="003B707A">
        <w:rPr>
          <w:rFonts w:cs="Arial"/>
          <w:b/>
        </w:rPr>
        <w:t>Action: Callum MacInnes</w:t>
      </w:r>
      <w:r w:rsidR="009B6C45" w:rsidRPr="003B707A">
        <w:rPr>
          <w:rFonts w:cs="Arial"/>
        </w:rPr>
        <w:t xml:space="preserve"> </w:t>
      </w:r>
      <w:r w:rsidR="009B6C45" w:rsidRPr="00FF1497">
        <w:rPr>
          <w:rFonts w:cs="Arial"/>
          <w:b/>
        </w:rPr>
        <w:t>and Commissioners</w:t>
      </w:r>
    </w:p>
    <w:p w:rsidR="000C1D06" w:rsidRPr="000C1D06" w:rsidRDefault="000C1D06" w:rsidP="00036F32">
      <w:pPr>
        <w:ind w:left="720" w:hanging="720"/>
        <w:rPr>
          <w:rFonts w:cs="Arial"/>
        </w:rPr>
      </w:pPr>
    </w:p>
    <w:p w:rsidR="003A7F75" w:rsidRPr="003A7F75" w:rsidRDefault="003A7F75" w:rsidP="00036F32">
      <w:pPr>
        <w:pStyle w:val="Heading1"/>
        <w:rPr>
          <w:lang w:eastAsia="en-GB"/>
        </w:rPr>
      </w:pPr>
      <w:r w:rsidRPr="003A7F75">
        <w:rPr>
          <w:lang w:eastAsia="en-GB"/>
        </w:rPr>
        <w:t xml:space="preserve">2. </w:t>
      </w:r>
      <w:r>
        <w:rPr>
          <w:lang w:eastAsia="en-GB"/>
        </w:rPr>
        <w:tab/>
      </w:r>
      <w:r w:rsidRPr="003A7F75">
        <w:rPr>
          <w:lang w:eastAsia="en-GB"/>
        </w:rPr>
        <w:t>Apolog</w:t>
      </w:r>
      <w:r>
        <w:rPr>
          <w:lang w:eastAsia="en-GB"/>
        </w:rPr>
        <w:t>i</w:t>
      </w:r>
      <w:r w:rsidRPr="003A7F75">
        <w:rPr>
          <w:lang w:eastAsia="en-GB"/>
        </w:rPr>
        <w:t>es f</w:t>
      </w:r>
      <w:r>
        <w:rPr>
          <w:lang w:eastAsia="en-GB"/>
        </w:rPr>
        <w:t>o</w:t>
      </w:r>
      <w:r w:rsidRPr="003A7F75">
        <w:rPr>
          <w:lang w:eastAsia="en-GB"/>
        </w:rPr>
        <w:t>r absence</w:t>
      </w:r>
    </w:p>
    <w:p w:rsidR="003A7F75" w:rsidRDefault="003A7F75" w:rsidP="00036F32"/>
    <w:p w:rsidR="003A7F75" w:rsidRPr="005D2729" w:rsidRDefault="003A7F75" w:rsidP="00036F32">
      <w:pPr>
        <w:ind w:left="720" w:hanging="720"/>
        <w:rPr>
          <w:rFonts w:cs="Arial"/>
          <w:iCs/>
          <w:lang w:eastAsia="en-GB"/>
        </w:rPr>
      </w:pPr>
      <w:r>
        <w:t>2.1</w:t>
      </w:r>
      <w:r>
        <w:tab/>
      </w:r>
      <w:r w:rsidRPr="006D5CE2">
        <w:t xml:space="preserve">Apologies had been received from Commissioner </w:t>
      </w:r>
      <w:r w:rsidR="009E07EC">
        <w:t>Caroline Waters</w:t>
      </w:r>
      <w:r w:rsidR="000C1D06">
        <w:t xml:space="preserve"> who had</w:t>
      </w:r>
      <w:r w:rsidR="009E07EC">
        <w:t xml:space="preserve"> </w:t>
      </w:r>
      <w:r w:rsidRPr="006D5CE2">
        <w:t>provided feedback on papers</w:t>
      </w:r>
      <w:r>
        <w:t xml:space="preserve"> </w:t>
      </w:r>
      <w:r w:rsidR="000C1D06">
        <w:t xml:space="preserve">separately </w:t>
      </w:r>
      <w:r w:rsidR="009E07EC">
        <w:t>to</w:t>
      </w:r>
      <w:r w:rsidR="002A7665">
        <w:t xml:space="preserve"> David </w:t>
      </w:r>
      <w:r w:rsidR="00FD58E0">
        <w:t>Isaac</w:t>
      </w:r>
      <w:r w:rsidR="009E07EC">
        <w:t xml:space="preserve">. </w:t>
      </w:r>
      <w:r w:rsidR="000C1D06">
        <w:t>Ma</w:t>
      </w:r>
      <w:r w:rsidR="00FD58E0">
        <w:t>rk</w:t>
      </w:r>
      <w:r w:rsidR="000C1D06">
        <w:t xml:space="preserve"> McLane was also unable to attend.</w:t>
      </w:r>
    </w:p>
    <w:p w:rsidR="003D5059" w:rsidRPr="005D2729" w:rsidRDefault="003D5059" w:rsidP="00036F32">
      <w:pPr>
        <w:ind w:left="2520" w:hanging="720"/>
        <w:rPr>
          <w:rFonts w:cs="Arial"/>
          <w:iCs/>
          <w:lang w:eastAsia="en-GB"/>
        </w:rPr>
      </w:pPr>
    </w:p>
    <w:p w:rsidR="009C7E2F" w:rsidRPr="00036F32" w:rsidRDefault="003A7F75" w:rsidP="00036F32">
      <w:pPr>
        <w:pStyle w:val="Heading1"/>
      </w:pPr>
      <w:r w:rsidRPr="00036F32">
        <w:t>3</w:t>
      </w:r>
      <w:r w:rsidR="009C7E2F" w:rsidRPr="00036F32">
        <w:t>.</w:t>
      </w:r>
      <w:r w:rsidR="009C7E2F" w:rsidRPr="00036F32">
        <w:tab/>
        <w:t xml:space="preserve">Declarations of interest </w:t>
      </w:r>
    </w:p>
    <w:p w:rsidR="00F06AA8" w:rsidRPr="006D5CE2" w:rsidRDefault="00F06AA8" w:rsidP="00036F32"/>
    <w:p w:rsidR="000C1D06" w:rsidRDefault="003B707A" w:rsidP="00036F32">
      <w:pPr>
        <w:ind w:left="720" w:hanging="720"/>
        <w:rPr>
          <w:rFonts w:cs="Arial"/>
        </w:rPr>
      </w:pPr>
      <w:r>
        <w:rPr>
          <w:rFonts w:cs="Arial"/>
        </w:rPr>
        <w:t>3</w:t>
      </w:r>
      <w:r w:rsidR="006D5CE2" w:rsidRPr="00402ABF">
        <w:rPr>
          <w:rFonts w:cs="Arial"/>
        </w:rPr>
        <w:t>.1</w:t>
      </w:r>
      <w:r w:rsidR="006D5CE2" w:rsidRPr="00402ABF">
        <w:rPr>
          <w:rFonts w:cs="Arial"/>
        </w:rPr>
        <w:tab/>
      </w:r>
      <w:r w:rsidR="000C1D06">
        <w:rPr>
          <w:rFonts w:cs="Arial"/>
        </w:rPr>
        <w:t xml:space="preserve">Commissioners had received the annual reminder from the </w:t>
      </w:r>
      <w:r>
        <w:rPr>
          <w:rFonts w:cs="Arial"/>
        </w:rPr>
        <w:t>Corporate Governance Team</w:t>
      </w:r>
      <w:r w:rsidR="000C1D06">
        <w:rPr>
          <w:rFonts w:cs="Arial"/>
        </w:rPr>
        <w:t xml:space="preserve"> to review their and colleagu</w:t>
      </w:r>
      <w:r w:rsidR="00896605">
        <w:rPr>
          <w:rFonts w:cs="Arial"/>
        </w:rPr>
        <w:t>es</w:t>
      </w:r>
      <w:r w:rsidR="00F44408">
        <w:rPr>
          <w:rFonts w:cs="Arial"/>
        </w:rPr>
        <w:t>’</w:t>
      </w:r>
      <w:r>
        <w:rPr>
          <w:rFonts w:cs="Arial"/>
        </w:rPr>
        <w:t xml:space="preserve"> declarations of interest. They </w:t>
      </w:r>
      <w:r w:rsidR="00896605">
        <w:rPr>
          <w:rFonts w:cs="Arial"/>
        </w:rPr>
        <w:t>had had the opportunity in the pre-meeting session to raise any concerns about their or fellow-Commissioners</w:t>
      </w:r>
      <w:r w:rsidR="00F44408">
        <w:rPr>
          <w:rFonts w:cs="Arial"/>
        </w:rPr>
        <w:t>’</w:t>
      </w:r>
      <w:r w:rsidR="00896605">
        <w:rPr>
          <w:rFonts w:cs="Arial"/>
        </w:rPr>
        <w:t xml:space="preserve"> interest and</w:t>
      </w:r>
      <w:r w:rsidR="000C1D06">
        <w:rPr>
          <w:rFonts w:cs="Arial"/>
        </w:rPr>
        <w:t xml:space="preserve"> if necessary to update their declarations with any interests not declared in-year. </w:t>
      </w:r>
    </w:p>
    <w:p w:rsidR="000C1D06" w:rsidRDefault="000C1D06" w:rsidP="00036F32">
      <w:pPr>
        <w:rPr>
          <w:rFonts w:cs="Arial"/>
        </w:rPr>
      </w:pPr>
    </w:p>
    <w:p w:rsidR="000C1D06" w:rsidRDefault="003B707A" w:rsidP="00036F32">
      <w:pPr>
        <w:ind w:left="720" w:hanging="720"/>
        <w:rPr>
          <w:rFonts w:cs="Arial"/>
        </w:rPr>
      </w:pPr>
      <w:r>
        <w:rPr>
          <w:rFonts w:cs="Arial"/>
        </w:rPr>
        <w:t>3</w:t>
      </w:r>
      <w:r w:rsidR="000C1D06">
        <w:rPr>
          <w:rFonts w:cs="Arial"/>
        </w:rPr>
        <w:t>.2</w:t>
      </w:r>
      <w:r w:rsidR="000C1D06">
        <w:rPr>
          <w:rFonts w:cs="Arial"/>
        </w:rPr>
        <w:tab/>
        <w:t xml:space="preserve">Suzanne Baxter declared that </w:t>
      </w:r>
      <w:r w:rsidR="007F226C">
        <w:rPr>
          <w:rFonts w:cs="Arial"/>
        </w:rPr>
        <w:t>with effect from 14 May 2019 she had now taken</w:t>
      </w:r>
      <w:r w:rsidR="000C1D06" w:rsidRPr="00DC18FE">
        <w:rPr>
          <w:rFonts w:cs="Arial"/>
        </w:rPr>
        <w:t xml:space="preserve"> up a role </w:t>
      </w:r>
      <w:r w:rsidR="00E84AE7">
        <w:rPr>
          <w:rFonts w:cs="Arial"/>
        </w:rPr>
        <w:t>as independent external member of</w:t>
      </w:r>
      <w:r w:rsidR="000C1D06" w:rsidRPr="00DC18FE">
        <w:rPr>
          <w:rFonts w:cs="Arial"/>
        </w:rPr>
        <w:t xml:space="preserve"> the Board of Pinsent Mason</w:t>
      </w:r>
      <w:r w:rsidR="000C1D06" w:rsidRPr="006572D4">
        <w:rPr>
          <w:rFonts w:cs="Arial"/>
        </w:rPr>
        <w:t>s.</w:t>
      </w:r>
      <w:r w:rsidR="007F226C">
        <w:rPr>
          <w:rFonts w:cs="Arial"/>
        </w:rPr>
        <w:t xml:space="preserve"> </w:t>
      </w:r>
      <w:r w:rsidR="003918ED">
        <w:rPr>
          <w:rFonts w:cs="Arial"/>
        </w:rPr>
        <w:t xml:space="preserve">She clarified that in this </w:t>
      </w:r>
      <w:r w:rsidR="003918ED" w:rsidRPr="003918ED">
        <w:rPr>
          <w:rFonts w:cs="Arial"/>
        </w:rPr>
        <w:t>role</w:t>
      </w:r>
      <w:r w:rsidR="003918ED">
        <w:rPr>
          <w:rFonts w:cs="Arial"/>
        </w:rPr>
        <w:t xml:space="preserve">, she </w:t>
      </w:r>
      <w:r w:rsidR="003918ED" w:rsidRPr="003918ED">
        <w:rPr>
          <w:color w:val="000000"/>
        </w:rPr>
        <w:t xml:space="preserve">would operate entirely independently from David Isaac in his position as a partner at the firm, and that he had not been a member of the selection panel responsible for her appointment. </w:t>
      </w:r>
      <w:r w:rsidR="007F226C">
        <w:rPr>
          <w:rFonts w:cs="Arial"/>
        </w:rPr>
        <w:t>She agreed that she would bring any change in this approach to the attention of the Board</w:t>
      </w:r>
      <w:r w:rsidR="006C1C1B">
        <w:rPr>
          <w:rFonts w:cs="Arial"/>
        </w:rPr>
        <w:t>,</w:t>
      </w:r>
      <w:r w:rsidR="007F226C">
        <w:rPr>
          <w:rFonts w:cs="Arial"/>
        </w:rPr>
        <w:t xml:space="preserve"> which agreed that this role did not present a conflict of interest</w:t>
      </w:r>
      <w:r w:rsidR="000C1D06">
        <w:rPr>
          <w:rFonts w:cs="Arial"/>
        </w:rPr>
        <w:t>.</w:t>
      </w:r>
    </w:p>
    <w:p w:rsidR="000C1D06" w:rsidRDefault="000C1D06" w:rsidP="00036F32">
      <w:pPr>
        <w:rPr>
          <w:rFonts w:cs="Arial"/>
        </w:rPr>
      </w:pPr>
    </w:p>
    <w:p w:rsidR="00403BCC" w:rsidRDefault="003B707A" w:rsidP="00036F32">
      <w:pPr>
        <w:ind w:left="720" w:hanging="720"/>
        <w:rPr>
          <w:rFonts w:cs="Arial"/>
        </w:rPr>
      </w:pPr>
      <w:r>
        <w:rPr>
          <w:rFonts w:cs="Arial"/>
        </w:rPr>
        <w:t>3</w:t>
      </w:r>
      <w:r w:rsidR="00403BCC">
        <w:rPr>
          <w:rFonts w:cs="Arial"/>
        </w:rPr>
        <w:t>.3</w:t>
      </w:r>
      <w:r>
        <w:rPr>
          <w:rFonts w:cs="Arial"/>
        </w:rPr>
        <w:tab/>
        <w:t>In relation to the I</w:t>
      </w:r>
      <w:r w:rsidR="00E56178">
        <w:rPr>
          <w:rFonts w:cs="Arial"/>
        </w:rPr>
        <w:t xml:space="preserve">nvestigation to be discussed at </w:t>
      </w:r>
      <w:r w:rsidR="003918ED">
        <w:rPr>
          <w:rFonts w:cs="Arial"/>
          <w:u w:val="single"/>
        </w:rPr>
        <w:t>item 8</w:t>
      </w:r>
      <w:r w:rsidR="00E56178">
        <w:rPr>
          <w:rFonts w:cs="Arial"/>
        </w:rPr>
        <w:t xml:space="preserve">, no Board members were current or recent members of the political party. As </w:t>
      </w:r>
      <w:r w:rsidR="00E56178" w:rsidRPr="00B56FDE">
        <w:rPr>
          <w:rFonts w:cs="Arial"/>
        </w:rPr>
        <w:t>an active member of the Anglo-Jewish community</w:t>
      </w:r>
      <w:r w:rsidR="00E56178">
        <w:rPr>
          <w:rFonts w:cs="Arial"/>
        </w:rPr>
        <w:t xml:space="preserve">, Rebecca Hilsenrath would recuse herself from this part of the meeting to avoid any perception of bias. </w:t>
      </w:r>
    </w:p>
    <w:p w:rsidR="00403BCC" w:rsidRDefault="00403BCC" w:rsidP="00036F32">
      <w:pPr>
        <w:ind w:left="720" w:hanging="720"/>
        <w:rPr>
          <w:rFonts w:cs="Arial"/>
        </w:rPr>
      </w:pPr>
    </w:p>
    <w:p w:rsidR="00C27462" w:rsidRDefault="003B707A" w:rsidP="00036F32">
      <w:pPr>
        <w:ind w:left="720" w:hanging="720"/>
      </w:pPr>
      <w:r>
        <w:t>3.4</w:t>
      </w:r>
      <w:r w:rsidR="00402ABF">
        <w:tab/>
      </w:r>
      <w:r w:rsidR="006D5CE2" w:rsidRPr="006D5CE2">
        <w:t xml:space="preserve">No </w:t>
      </w:r>
      <w:r w:rsidR="008937AD">
        <w:t xml:space="preserve">further </w:t>
      </w:r>
      <w:r w:rsidR="006D5CE2" w:rsidRPr="006D5CE2">
        <w:t>declarations wer</w:t>
      </w:r>
      <w:r w:rsidR="00E46030">
        <w:t>e</w:t>
      </w:r>
      <w:r w:rsidR="006D5CE2" w:rsidRPr="006D5CE2">
        <w:t xml:space="preserve"> made additio</w:t>
      </w:r>
      <w:r w:rsidR="000C1D06">
        <w:t xml:space="preserve">nal to those already registered, and the </w:t>
      </w:r>
      <w:r>
        <w:t>Corporate Governance Team</w:t>
      </w:r>
      <w:r w:rsidR="000C1D06">
        <w:t xml:space="preserve"> would amend the published register to indicate that the annual review of Registers had taken place. </w:t>
      </w:r>
      <w:r w:rsidR="000C1D06" w:rsidRPr="000C1D06">
        <w:rPr>
          <w:b/>
        </w:rPr>
        <w:t>Action: Richard Mabbitt</w:t>
      </w:r>
    </w:p>
    <w:p w:rsidR="003A7F75" w:rsidRPr="006D5CE2" w:rsidRDefault="003A7F75" w:rsidP="003A7F75">
      <w:pPr>
        <w:ind w:left="720" w:hanging="720"/>
      </w:pPr>
    </w:p>
    <w:p w:rsidR="00322813" w:rsidRPr="00A5237F" w:rsidRDefault="003A7F75" w:rsidP="00036F32">
      <w:pPr>
        <w:pStyle w:val="Heading1"/>
      </w:pPr>
      <w:r>
        <w:t>4</w:t>
      </w:r>
      <w:r w:rsidR="00306C19" w:rsidRPr="00A5237F">
        <w:t>.</w:t>
      </w:r>
      <w:r w:rsidR="00306C19" w:rsidRPr="00A5237F">
        <w:tab/>
      </w:r>
      <w:r w:rsidR="00322813" w:rsidRPr="00A5237F">
        <w:t>Minutes of the last meeting</w:t>
      </w:r>
    </w:p>
    <w:p w:rsidR="00322813" w:rsidRPr="00A5237F" w:rsidRDefault="00322813" w:rsidP="00E72C89"/>
    <w:p w:rsidR="00B12302" w:rsidRPr="00A5237F" w:rsidRDefault="00575495" w:rsidP="00036F32">
      <w:pPr>
        <w:ind w:left="720" w:hanging="720"/>
      </w:pPr>
      <w:r>
        <w:t>4</w:t>
      </w:r>
      <w:r w:rsidR="00322813" w:rsidRPr="00A5237F">
        <w:t>.1</w:t>
      </w:r>
      <w:r w:rsidR="00322813" w:rsidRPr="00A5237F">
        <w:tab/>
      </w:r>
      <w:r w:rsidR="00A81828" w:rsidRPr="00A5237F">
        <w:t>T</w:t>
      </w:r>
      <w:r w:rsidR="00322813" w:rsidRPr="00A5237F">
        <w:t xml:space="preserve">he minutes </w:t>
      </w:r>
      <w:r w:rsidR="00664D44" w:rsidRPr="00A5237F">
        <w:t xml:space="preserve">of the </w:t>
      </w:r>
      <w:r w:rsidR="00C47DF8">
        <w:t xml:space="preserve">82nd </w:t>
      </w:r>
      <w:r w:rsidR="003B707A">
        <w:t>Board meeting of 5 March</w:t>
      </w:r>
      <w:r w:rsidR="0055094A" w:rsidRPr="00A5237F">
        <w:t xml:space="preserve"> </w:t>
      </w:r>
      <w:r w:rsidR="00C47DF8">
        <w:t>2019</w:t>
      </w:r>
      <w:r w:rsidR="00D4185E" w:rsidRPr="00A5237F">
        <w:t xml:space="preserve"> (paper </w:t>
      </w:r>
      <w:r w:rsidR="00240362" w:rsidRPr="00A5237F">
        <w:rPr>
          <w:u w:val="single"/>
        </w:rPr>
        <w:t>EHRC 8</w:t>
      </w:r>
      <w:r w:rsidR="00C47DF8">
        <w:rPr>
          <w:u w:val="single"/>
        </w:rPr>
        <w:t>3</w:t>
      </w:r>
      <w:r w:rsidR="00D4185E" w:rsidRPr="00A5237F">
        <w:rPr>
          <w:u w:val="single"/>
        </w:rPr>
        <w:t>.01</w:t>
      </w:r>
      <w:r w:rsidR="00D4185E" w:rsidRPr="00A5237F">
        <w:t xml:space="preserve">) </w:t>
      </w:r>
      <w:r w:rsidR="00322813" w:rsidRPr="00A5237F">
        <w:t>were agreed as a true record</w:t>
      </w:r>
      <w:r w:rsidR="008F30B5">
        <w:t xml:space="preserve"> subject to</w:t>
      </w:r>
      <w:r w:rsidR="00C47DF8">
        <w:t xml:space="preserve"> correction </w:t>
      </w:r>
      <w:r w:rsidR="00403BCC">
        <w:t>to record Lesley Saw</w:t>
      </w:r>
      <w:r w:rsidR="00C47DF8">
        <w:t>ers attendance.</w:t>
      </w:r>
    </w:p>
    <w:p w:rsidR="0055094A" w:rsidRPr="0038546A" w:rsidRDefault="0055094A" w:rsidP="0055094A">
      <w:pPr>
        <w:ind w:left="720" w:hanging="720"/>
        <w:rPr>
          <w:highlight w:val="yellow"/>
        </w:rPr>
      </w:pPr>
    </w:p>
    <w:p w:rsidR="00322813" w:rsidRPr="00DC5A97" w:rsidRDefault="003A7F75" w:rsidP="00036F32">
      <w:pPr>
        <w:pStyle w:val="Heading1"/>
      </w:pPr>
      <w:r>
        <w:t>5</w:t>
      </w:r>
      <w:r w:rsidR="00EC5F30" w:rsidRPr="00DC5A97">
        <w:t>.</w:t>
      </w:r>
      <w:r w:rsidR="00322813" w:rsidRPr="00DC5A97">
        <w:tab/>
        <w:t xml:space="preserve">Actions arising </w:t>
      </w:r>
    </w:p>
    <w:p w:rsidR="00AA3F40" w:rsidRPr="00DC5A97" w:rsidRDefault="00AA3F40" w:rsidP="00036F32"/>
    <w:p w:rsidR="003D5059" w:rsidRDefault="00B271E4" w:rsidP="00036F32">
      <w:pPr>
        <w:ind w:left="720" w:hanging="720"/>
      </w:pPr>
      <w:r>
        <w:t>5</w:t>
      </w:r>
      <w:r w:rsidR="00EC5F30" w:rsidRPr="00DC5A97">
        <w:t>.</w:t>
      </w:r>
      <w:r w:rsidR="00D30D41" w:rsidRPr="00DC5A97">
        <w:t>1</w:t>
      </w:r>
      <w:r w:rsidR="00D30D41" w:rsidRPr="00DC5A97">
        <w:tab/>
      </w:r>
      <w:r w:rsidR="003D5059" w:rsidRPr="00DC5A97">
        <w:t>The Board reviewed the log of actions arising from Board meetings (</w:t>
      </w:r>
      <w:r w:rsidR="009F678C">
        <w:rPr>
          <w:u w:val="single"/>
        </w:rPr>
        <w:t>EHRC 83</w:t>
      </w:r>
      <w:r w:rsidR="003D5059" w:rsidRPr="00DC5A97">
        <w:rPr>
          <w:u w:val="single"/>
        </w:rPr>
        <w:t>.02</w:t>
      </w:r>
      <w:r w:rsidR="003D5059" w:rsidRPr="00DC5A97">
        <w:t xml:space="preserve">). </w:t>
      </w:r>
    </w:p>
    <w:p w:rsidR="009F678C" w:rsidRDefault="009F678C" w:rsidP="00036F32">
      <w:pPr>
        <w:ind w:left="720" w:hanging="720"/>
      </w:pPr>
    </w:p>
    <w:p w:rsidR="009F678C" w:rsidRDefault="00D00A42" w:rsidP="00036F32">
      <w:pPr>
        <w:ind w:left="1440" w:hanging="720"/>
      </w:pPr>
      <w:r>
        <w:t>a)</w:t>
      </w:r>
      <w:r>
        <w:tab/>
      </w:r>
      <w:r w:rsidR="009F678C">
        <w:t xml:space="preserve">On action </w:t>
      </w:r>
      <w:r w:rsidR="009F678C">
        <w:rPr>
          <w:u w:val="single"/>
        </w:rPr>
        <w:t>82</w:t>
      </w:r>
      <w:r w:rsidR="009F678C" w:rsidRPr="009F678C">
        <w:rPr>
          <w:u w:val="single"/>
        </w:rPr>
        <w:t>.5.5</w:t>
      </w:r>
      <w:r w:rsidR="006572D4">
        <w:t xml:space="preserve"> (Campbell Tick</w:t>
      </w:r>
      <w:r w:rsidR="009F678C">
        <w:t>ell Review of Stat</w:t>
      </w:r>
      <w:r w:rsidR="00DC18FE">
        <w:t>utory Committee Effectiveness) t</w:t>
      </w:r>
      <w:r w:rsidR="009F678C">
        <w:t xml:space="preserve">he Board noted that </w:t>
      </w:r>
      <w:r w:rsidR="009F678C" w:rsidRPr="00F35D09">
        <w:rPr>
          <w:rFonts w:cs="Arial"/>
        </w:rPr>
        <w:t xml:space="preserve">Committee </w:t>
      </w:r>
      <w:r w:rsidR="009F678C">
        <w:rPr>
          <w:rFonts w:cs="Arial"/>
        </w:rPr>
        <w:t>C</w:t>
      </w:r>
      <w:r w:rsidR="009F678C" w:rsidRPr="00F35D09">
        <w:rPr>
          <w:rFonts w:cs="Arial"/>
        </w:rPr>
        <w:t xml:space="preserve">hairs </w:t>
      </w:r>
      <w:r w:rsidR="003B707A">
        <w:rPr>
          <w:rFonts w:cs="Arial"/>
        </w:rPr>
        <w:t xml:space="preserve">had </w:t>
      </w:r>
      <w:r w:rsidR="009F678C" w:rsidRPr="00F35D09">
        <w:rPr>
          <w:rFonts w:cs="Arial"/>
        </w:rPr>
        <w:t xml:space="preserve">met to </w:t>
      </w:r>
      <w:r w:rsidR="005D4E7F">
        <w:rPr>
          <w:rFonts w:cs="Arial"/>
        </w:rPr>
        <w:t>discuss on 26 April a</w:t>
      </w:r>
      <w:r w:rsidR="009F678C">
        <w:rPr>
          <w:rFonts w:cs="Arial"/>
        </w:rPr>
        <w:t>nd feedback had been passed on to Campbell Tickell</w:t>
      </w:r>
      <w:r w:rsidR="003B707A">
        <w:rPr>
          <w:rFonts w:cs="Arial"/>
        </w:rPr>
        <w:t>.</w:t>
      </w:r>
      <w:r w:rsidR="009F678C">
        <w:rPr>
          <w:rFonts w:cs="Arial"/>
        </w:rPr>
        <w:t xml:space="preserve"> Progress against other parts of the Board effectiveness action plan would be reported upon at the Board Meeting of 3 July 2019</w:t>
      </w:r>
      <w:r w:rsidR="009F678C" w:rsidRPr="00F35D09">
        <w:rPr>
          <w:rFonts w:cs="Arial"/>
        </w:rPr>
        <w:t>.</w:t>
      </w:r>
    </w:p>
    <w:p w:rsidR="008F30B5" w:rsidRDefault="008F30B5" w:rsidP="00036F32">
      <w:pPr>
        <w:ind w:left="1440" w:hanging="720"/>
      </w:pPr>
    </w:p>
    <w:p w:rsidR="008F30B5" w:rsidRPr="00DC5A97" w:rsidRDefault="007F226C" w:rsidP="00036F32">
      <w:pPr>
        <w:ind w:left="1440" w:hanging="720"/>
      </w:pPr>
      <w:r>
        <w:rPr>
          <w:rFonts w:cs="Arial"/>
        </w:rPr>
        <w:t>b</w:t>
      </w:r>
      <w:r w:rsidR="00D00A42">
        <w:rPr>
          <w:rFonts w:cs="Arial"/>
        </w:rPr>
        <w:t>)</w:t>
      </w:r>
      <w:r w:rsidR="00D00A42">
        <w:rPr>
          <w:rFonts w:cs="Arial"/>
        </w:rPr>
        <w:tab/>
      </w:r>
      <w:r w:rsidR="009F678C">
        <w:rPr>
          <w:rFonts w:cs="Arial"/>
        </w:rPr>
        <w:t xml:space="preserve">On action </w:t>
      </w:r>
      <w:r w:rsidR="009F678C" w:rsidRPr="00D00A42">
        <w:rPr>
          <w:rFonts w:cs="Arial"/>
          <w:u w:val="single"/>
        </w:rPr>
        <w:t>22/12.1</w:t>
      </w:r>
      <w:r w:rsidR="00DC18FE">
        <w:rPr>
          <w:rFonts w:cs="Arial"/>
        </w:rPr>
        <w:t xml:space="preserve"> (Revocation of Sh</w:t>
      </w:r>
      <w:r w:rsidR="009F678C">
        <w:rPr>
          <w:rFonts w:cs="Arial"/>
        </w:rPr>
        <w:t>emima Begum</w:t>
      </w:r>
      <w:r w:rsidR="003918ED">
        <w:rPr>
          <w:rFonts w:cs="Arial"/>
        </w:rPr>
        <w:t>’</w:t>
      </w:r>
      <w:r w:rsidR="009F678C">
        <w:rPr>
          <w:rFonts w:cs="Arial"/>
        </w:rPr>
        <w:t>s citizenship) officers had discussed with David Isaac and a</w:t>
      </w:r>
      <w:r w:rsidR="008F30B5">
        <w:rPr>
          <w:rFonts w:cs="Arial"/>
        </w:rPr>
        <w:t xml:space="preserve"> watching brief</w:t>
      </w:r>
      <w:r w:rsidR="009F678C">
        <w:rPr>
          <w:rFonts w:cs="Arial"/>
        </w:rPr>
        <w:t xml:space="preserve"> was being maintained.</w:t>
      </w:r>
      <w:r w:rsidR="00DC18FE">
        <w:rPr>
          <w:rFonts w:cs="Arial"/>
        </w:rPr>
        <w:t xml:space="preserve"> The Commission had</w:t>
      </w:r>
      <w:r w:rsidR="009F678C">
        <w:rPr>
          <w:rFonts w:cs="Arial"/>
        </w:rPr>
        <w:t xml:space="preserve"> developed </w:t>
      </w:r>
      <w:r w:rsidR="008F30B5">
        <w:rPr>
          <w:rFonts w:cs="Arial"/>
        </w:rPr>
        <w:t>line</w:t>
      </w:r>
      <w:r w:rsidR="009F678C">
        <w:rPr>
          <w:rFonts w:cs="Arial"/>
        </w:rPr>
        <w:t>s</w:t>
      </w:r>
      <w:r w:rsidR="008F30B5">
        <w:rPr>
          <w:rFonts w:cs="Arial"/>
        </w:rPr>
        <w:t xml:space="preserve"> for potential questioning by the UN Committee Against Torture at the May examination of the UK</w:t>
      </w:r>
      <w:r w:rsidR="00DC18FE">
        <w:rPr>
          <w:rFonts w:cs="Arial"/>
        </w:rPr>
        <w:t xml:space="preserve"> (alt</w:t>
      </w:r>
      <w:r w:rsidR="009F678C">
        <w:rPr>
          <w:rFonts w:cs="Arial"/>
        </w:rPr>
        <w:t>houg</w:t>
      </w:r>
      <w:r w:rsidR="00DC18FE">
        <w:rPr>
          <w:rFonts w:cs="Arial"/>
        </w:rPr>
        <w:t>h</w:t>
      </w:r>
      <w:r w:rsidR="009F678C">
        <w:rPr>
          <w:rFonts w:cs="Arial"/>
        </w:rPr>
        <w:t xml:space="preserve"> in the event the issue had not there arisen)</w:t>
      </w:r>
      <w:r w:rsidR="008F30B5">
        <w:rPr>
          <w:rFonts w:cs="Arial"/>
        </w:rPr>
        <w:t xml:space="preserve"> and </w:t>
      </w:r>
      <w:r w:rsidR="003B707A">
        <w:rPr>
          <w:rFonts w:cs="Arial"/>
        </w:rPr>
        <w:t xml:space="preserve">for </w:t>
      </w:r>
      <w:r w:rsidR="008F30B5">
        <w:rPr>
          <w:rFonts w:cs="Arial"/>
        </w:rPr>
        <w:t>the forthcoming ICCPR report, together with media lines.</w:t>
      </w:r>
    </w:p>
    <w:p w:rsidR="003D5059" w:rsidRDefault="003D5059" w:rsidP="00036F32">
      <w:pPr>
        <w:ind w:left="1440" w:hanging="720"/>
      </w:pPr>
    </w:p>
    <w:p w:rsidR="009F678C" w:rsidRDefault="007F226C" w:rsidP="00036F32">
      <w:pPr>
        <w:ind w:left="1440" w:hanging="720"/>
      </w:pPr>
      <w:r>
        <w:t>c</w:t>
      </w:r>
      <w:r w:rsidR="00D00A42">
        <w:t>)</w:t>
      </w:r>
      <w:r w:rsidR="00D00A42">
        <w:tab/>
      </w:r>
      <w:r w:rsidR="009F678C">
        <w:t xml:space="preserve">On Action </w:t>
      </w:r>
      <w:r w:rsidR="009F678C" w:rsidRPr="00D00A42">
        <w:rPr>
          <w:u w:val="single"/>
        </w:rPr>
        <w:t>80/7.3</w:t>
      </w:r>
      <w:r w:rsidR="009F678C">
        <w:t xml:space="preserve"> (England Strategy) Caroline Waters’ oral update on this closed action was deferred to the July Meeting. Ben Wilson provided</w:t>
      </w:r>
      <w:r w:rsidR="00D00A42">
        <w:t xml:space="preserve"> an update on the launch of ‘Is England Fairer’.</w:t>
      </w:r>
      <w:r w:rsidR="009F678C">
        <w:t xml:space="preserve"> </w:t>
      </w:r>
      <w:r w:rsidR="00D00A42">
        <w:t xml:space="preserve">Susan Johnson asked officers </w:t>
      </w:r>
      <w:r w:rsidR="00DC18FE">
        <w:t xml:space="preserve">taking forward work her </w:t>
      </w:r>
      <w:r w:rsidR="00D00A42">
        <w:t>t</w:t>
      </w:r>
      <w:r w:rsidR="00DC18FE">
        <w:t>o have in mind those Commission</w:t>
      </w:r>
      <w:r w:rsidR="00D00A42">
        <w:t xml:space="preserve">ers who were based in </w:t>
      </w:r>
      <w:r w:rsidR="00DC18FE">
        <w:t xml:space="preserve">or networked to </w:t>
      </w:r>
      <w:r w:rsidR="00D00A42">
        <w:t xml:space="preserve">different regions when considering </w:t>
      </w:r>
      <w:r w:rsidR="00DC18FE">
        <w:t>en</w:t>
      </w:r>
      <w:r w:rsidR="00D00A42">
        <w:t>ga</w:t>
      </w:r>
      <w:r w:rsidR="00DC18FE">
        <w:t>gement in th</w:t>
      </w:r>
      <w:r w:rsidR="00D00A42">
        <w:t>ose region</w:t>
      </w:r>
      <w:r w:rsidR="00DC18FE">
        <w:t>s.</w:t>
      </w:r>
      <w:r w:rsidR="00D00A42">
        <w:t xml:space="preserve"> </w:t>
      </w:r>
    </w:p>
    <w:p w:rsidR="00D00A42" w:rsidRPr="00DC5A97" w:rsidRDefault="00D00A42" w:rsidP="003D5059">
      <w:pPr>
        <w:ind w:left="720" w:hanging="720"/>
      </w:pPr>
    </w:p>
    <w:p w:rsidR="0058711F" w:rsidRPr="00A11FC6" w:rsidRDefault="003A7F75" w:rsidP="00036F32">
      <w:pPr>
        <w:pStyle w:val="Heading1"/>
      </w:pPr>
      <w:r>
        <w:t>6</w:t>
      </w:r>
      <w:r w:rsidR="0058711F" w:rsidRPr="00A11FC6">
        <w:t>.</w:t>
      </w:r>
      <w:r w:rsidR="0058711F" w:rsidRPr="00A11FC6">
        <w:tab/>
      </w:r>
      <w:r w:rsidR="00872C8D" w:rsidRPr="00A11FC6">
        <w:t>CEO’s update</w:t>
      </w:r>
      <w:r w:rsidR="00D72090">
        <w:t xml:space="preserve"> </w:t>
      </w:r>
    </w:p>
    <w:p w:rsidR="00B85420" w:rsidRPr="00A11FC6" w:rsidRDefault="00B85420" w:rsidP="003254F1">
      <w:pPr>
        <w:ind w:left="720" w:hanging="720"/>
      </w:pPr>
    </w:p>
    <w:p w:rsidR="00C02229" w:rsidRDefault="00C105A9" w:rsidP="00036F32">
      <w:pPr>
        <w:ind w:left="720" w:hanging="720"/>
        <w:rPr>
          <w:rFonts w:cs="Arial"/>
        </w:rPr>
      </w:pPr>
      <w:r>
        <w:rPr>
          <w:rFonts w:cs="Arial"/>
        </w:rPr>
        <w:t>6.1</w:t>
      </w:r>
      <w:r>
        <w:rPr>
          <w:rFonts w:cs="Arial"/>
        </w:rPr>
        <w:tab/>
      </w:r>
      <w:r w:rsidR="002954DF" w:rsidRPr="00B86967">
        <w:rPr>
          <w:rFonts w:cs="Arial"/>
        </w:rPr>
        <w:t>The B</w:t>
      </w:r>
      <w:r w:rsidR="00283268" w:rsidRPr="00B86967">
        <w:rPr>
          <w:rFonts w:cs="Arial"/>
        </w:rPr>
        <w:t xml:space="preserve">oard reviewed the CEOs </w:t>
      </w:r>
      <w:r w:rsidR="00A13D0B" w:rsidRPr="00B86967">
        <w:rPr>
          <w:rFonts w:cs="Arial"/>
        </w:rPr>
        <w:t xml:space="preserve">update on </w:t>
      </w:r>
      <w:r w:rsidR="00C70447" w:rsidRPr="00B86967">
        <w:rPr>
          <w:rFonts w:cs="Arial"/>
        </w:rPr>
        <w:t>strategic issues (</w:t>
      </w:r>
      <w:r w:rsidR="00283268" w:rsidRPr="00B86967">
        <w:rPr>
          <w:rFonts w:cs="Arial"/>
          <w:u w:val="single"/>
        </w:rPr>
        <w:t>EHRC 83.03</w:t>
      </w:r>
      <w:r w:rsidR="00C70447" w:rsidRPr="00B86967">
        <w:rPr>
          <w:rFonts w:cs="Arial"/>
        </w:rPr>
        <w:t>)</w:t>
      </w:r>
      <w:r w:rsidR="00283268" w:rsidRPr="00B86967">
        <w:rPr>
          <w:rFonts w:cs="Arial"/>
        </w:rPr>
        <w:t xml:space="preserve"> and the Period 12 Finance and performance report (</w:t>
      </w:r>
      <w:r w:rsidR="00283268" w:rsidRPr="00B86967">
        <w:rPr>
          <w:rFonts w:cs="Arial"/>
          <w:u w:val="single"/>
        </w:rPr>
        <w:t>EHRC 83.04</w:t>
      </w:r>
      <w:r w:rsidR="00283268" w:rsidRPr="00B86967">
        <w:rPr>
          <w:rFonts w:cs="Arial"/>
        </w:rPr>
        <w:t xml:space="preserve">) with </w:t>
      </w:r>
      <w:r w:rsidR="00283268" w:rsidRPr="00B86967">
        <w:rPr>
          <w:rFonts w:eastAsiaTheme="minorEastAsia" w:cs="Arial"/>
          <w:bCs/>
          <w:lang w:val="en-US" w:eastAsia="en-GB"/>
        </w:rPr>
        <w:t>Re</w:t>
      </w:r>
      <w:r w:rsidR="0039139D" w:rsidRPr="00B86967">
        <w:rPr>
          <w:rFonts w:eastAsiaTheme="minorEastAsia" w:cs="Arial"/>
          <w:bCs/>
          <w:lang w:val="en-US" w:eastAsia="en-GB"/>
        </w:rPr>
        <w:t>becca Hilsenrath providing</w:t>
      </w:r>
      <w:r w:rsidR="0036728D" w:rsidRPr="00B86967">
        <w:rPr>
          <w:rFonts w:eastAsiaTheme="minorEastAsia" w:cs="Arial"/>
          <w:bCs/>
          <w:lang w:val="en-US" w:eastAsia="en-GB"/>
        </w:rPr>
        <w:t xml:space="preserve"> an overall report on </w:t>
      </w:r>
      <w:r w:rsidR="00283268" w:rsidRPr="00B86967">
        <w:rPr>
          <w:rFonts w:eastAsiaTheme="minorEastAsia" w:cs="Arial"/>
          <w:bCs/>
          <w:lang w:val="en-US" w:eastAsia="en-GB"/>
        </w:rPr>
        <w:t xml:space="preserve">the Commission’s </w:t>
      </w:r>
      <w:r w:rsidR="00283268" w:rsidRPr="00B86967">
        <w:rPr>
          <w:rFonts w:cs="Arial"/>
        </w:rPr>
        <w:t xml:space="preserve">performance highlights from 2018/19 and key priorities for this financial year. </w:t>
      </w:r>
      <w:r w:rsidR="003A41F9" w:rsidRPr="00B86967">
        <w:rPr>
          <w:rFonts w:cs="Arial"/>
        </w:rPr>
        <w:t xml:space="preserve">Board members </w:t>
      </w:r>
      <w:r w:rsidR="0039139D" w:rsidRPr="00B86967">
        <w:rPr>
          <w:rFonts w:cs="Arial"/>
        </w:rPr>
        <w:t xml:space="preserve">welcomed the revised style and content of these reports. They </w:t>
      </w:r>
      <w:r w:rsidR="00283268" w:rsidRPr="00B86967">
        <w:t>acknowledged the</w:t>
      </w:r>
      <w:r w:rsidR="0039139D" w:rsidRPr="00B86967">
        <w:t xml:space="preserve"> Commission</w:t>
      </w:r>
      <w:r w:rsidR="002954DF" w:rsidRPr="00B86967">
        <w:t>’s</w:t>
      </w:r>
      <w:r w:rsidR="00283268" w:rsidRPr="00B86967">
        <w:t xml:space="preserve"> achievements </w:t>
      </w:r>
      <w:r w:rsidR="00DC18FE" w:rsidRPr="00B86967">
        <w:t xml:space="preserve">in 2018-19 </w:t>
      </w:r>
      <w:r w:rsidR="00DC11CF">
        <w:t xml:space="preserve">as </w:t>
      </w:r>
      <w:r w:rsidR="00644A7E">
        <w:t xml:space="preserve">set out in the presentation </w:t>
      </w:r>
      <w:r w:rsidR="00283268" w:rsidRPr="00B86967">
        <w:t xml:space="preserve">and </w:t>
      </w:r>
      <w:r w:rsidR="00644A7E">
        <w:t xml:space="preserve">(even though they identified a number of lessons to be learnt and challenges for EHRC to address) </w:t>
      </w:r>
      <w:r w:rsidR="00283268" w:rsidRPr="00B86967">
        <w:t>that</w:t>
      </w:r>
      <w:r w:rsidR="00835574">
        <w:t xml:space="preserve"> </w:t>
      </w:r>
      <w:r w:rsidR="00283268" w:rsidRPr="00B86967">
        <w:t xml:space="preserve">good progress was </w:t>
      </w:r>
      <w:r w:rsidR="00DC11CF">
        <w:t xml:space="preserve">generally </w:t>
      </w:r>
      <w:r w:rsidR="00283268" w:rsidRPr="00B86967">
        <w:t xml:space="preserve">being </w:t>
      </w:r>
      <w:r w:rsidR="00C15903" w:rsidRPr="00B86967">
        <w:t xml:space="preserve">made </w:t>
      </w:r>
      <w:r w:rsidR="00283268" w:rsidRPr="00B86967">
        <w:t>on the Commission’</w:t>
      </w:r>
      <w:r w:rsidR="0039139D" w:rsidRPr="00B86967">
        <w:t>s transformation jo</w:t>
      </w:r>
      <w:r w:rsidR="00283268" w:rsidRPr="00B86967">
        <w:t>urney</w:t>
      </w:r>
      <w:r w:rsidR="00C15903" w:rsidRPr="00B86967">
        <w:t xml:space="preserve">. </w:t>
      </w:r>
      <w:r w:rsidR="0039139D" w:rsidRPr="00B86967">
        <w:t>They</w:t>
      </w:r>
      <w:r w:rsidR="00C15903" w:rsidRPr="00B86967">
        <w:t xml:space="preserve"> </w:t>
      </w:r>
      <w:r w:rsidR="0039139D" w:rsidRPr="00B86967">
        <w:t xml:space="preserve">supported </w:t>
      </w:r>
      <w:r w:rsidR="00C15903" w:rsidRPr="00B86967">
        <w:t>the Commission</w:t>
      </w:r>
      <w:r w:rsidR="008F30B5" w:rsidRPr="00B86967">
        <w:t>’</w:t>
      </w:r>
      <w:r w:rsidR="00C15903" w:rsidRPr="00B86967">
        <w:t>s strategic aspirations</w:t>
      </w:r>
      <w:r w:rsidR="0039139D" w:rsidRPr="00B86967">
        <w:t xml:space="preserve">, and the structural changes that </w:t>
      </w:r>
      <w:r w:rsidR="008F30B5" w:rsidRPr="00B86967">
        <w:t>enab</w:t>
      </w:r>
      <w:r w:rsidR="0039139D" w:rsidRPr="00B86967">
        <w:t>led</w:t>
      </w:r>
      <w:r w:rsidR="002954DF" w:rsidRPr="00B86967">
        <w:t xml:space="preserve"> these. The Board recognised that</w:t>
      </w:r>
      <w:r w:rsidR="0039139D" w:rsidRPr="00B86967">
        <w:t xml:space="preserve"> improvements </w:t>
      </w:r>
      <w:r w:rsidR="002954DF" w:rsidRPr="00B86967">
        <w:t xml:space="preserve">were </w:t>
      </w:r>
      <w:r w:rsidR="0039139D" w:rsidRPr="00B86967">
        <w:t>being made to the Commission</w:t>
      </w:r>
      <w:r w:rsidR="0036728D" w:rsidRPr="00B86967">
        <w:t>’</w:t>
      </w:r>
      <w:r w:rsidR="0039139D" w:rsidRPr="00B86967">
        <w:t>s</w:t>
      </w:r>
      <w:r w:rsidR="003B707A">
        <w:t xml:space="preserve"> financial oversight,</w:t>
      </w:r>
      <w:r w:rsidR="00C15903">
        <w:t xml:space="preserve"> strategic oversight</w:t>
      </w:r>
      <w:r w:rsidR="003B707A">
        <w:t>,</w:t>
      </w:r>
      <w:r w:rsidR="00C15903">
        <w:t xml:space="preserve"> and delivery and impact.</w:t>
      </w:r>
      <w:r w:rsidRPr="00C105A9">
        <w:rPr>
          <w:rFonts w:cs="Arial"/>
        </w:rPr>
        <w:t xml:space="preserve"> </w:t>
      </w:r>
    </w:p>
    <w:p w:rsidR="00C02229" w:rsidRDefault="00C02229" w:rsidP="00036F32">
      <w:pPr>
        <w:ind w:left="720" w:hanging="720"/>
        <w:rPr>
          <w:rFonts w:cs="Arial"/>
        </w:rPr>
      </w:pPr>
    </w:p>
    <w:p w:rsidR="00C105A9" w:rsidRDefault="002C6E74" w:rsidP="00036F32">
      <w:pPr>
        <w:ind w:left="720" w:hanging="720"/>
        <w:rPr>
          <w:rFonts w:cs="Arial"/>
        </w:rPr>
      </w:pPr>
      <w:r>
        <w:rPr>
          <w:rFonts w:cs="Arial"/>
        </w:rPr>
        <w:t>6.2</w:t>
      </w:r>
      <w:r>
        <w:rPr>
          <w:rFonts w:cs="Arial"/>
        </w:rPr>
        <w:tab/>
      </w:r>
      <w:r w:rsidR="00C105A9">
        <w:rPr>
          <w:rFonts w:cs="Arial"/>
        </w:rPr>
        <w:t xml:space="preserve">Of the strategic issues flagged in </w:t>
      </w:r>
      <w:r w:rsidR="00C02229" w:rsidRPr="007F226C">
        <w:rPr>
          <w:rFonts w:cs="Arial"/>
          <w:u w:val="single"/>
        </w:rPr>
        <w:t>EHRC 83.03</w:t>
      </w:r>
      <w:r w:rsidR="00C02229">
        <w:rPr>
          <w:rFonts w:cs="Arial"/>
        </w:rPr>
        <w:t xml:space="preserve">, </w:t>
      </w:r>
      <w:r w:rsidR="00C105A9">
        <w:rPr>
          <w:rFonts w:cs="Arial"/>
        </w:rPr>
        <w:t xml:space="preserve">the </w:t>
      </w:r>
      <w:r>
        <w:rPr>
          <w:rFonts w:cs="Arial"/>
        </w:rPr>
        <w:t>Board discussed:</w:t>
      </w:r>
    </w:p>
    <w:p w:rsidR="002C6E74" w:rsidRDefault="002C6E74" w:rsidP="00036F32">
      <w:pPr>
        <w:ind w:left="720" w:hanging="720"/>
        <w:rPr>
          <w:rFonts w:cs="Arial"/>
        </w:rPr>
      </w:pPr>
    </w:p>
    <w:p w:rsidR="00C105A9" w:rsidRDefault="00C02229" w:rsidP="00036F32">
      <w:pPr>
        <w:ind w:left="1440" w:hanging="720"/>
        <w:rPr>
          <w:rFonts w:cs="Arial"/>
        </w:rPr>
      </w:pPr>
      <w:r>
        <w:rPr>
          <w:rFonts w:cs="Arial"/>
        </w:rPr>
        <w:t>a)</w:t>
      </w:r>
      <w:r>
        <w:rPr>
          <w:rFonts w:cs="Arial"/>
        </w:rPr>
        <w:tab/>
      </w:r>
      <w:r w:rsidR="00C105A9">
        <w:rPr>
          <w:rFonts w:cs="Arial"/>
        </w:rPr>
        <w:t>Windrush and the hostile environment, wher</w:t>
      </w:r>
      <w:r w:rsidR="002C6E74">
        <w:rPr>
          <w:rFonts w:cs="Arial"/>
        </w:rPr>
        <w:t>e</w:t>
      </w:r>
      <w:r w:rsidR="00C105A9">
        <w:rPr>
          <w:rFonts w:cs="Arial"/>
        </w:rPr>
        <w:t xml:space="preserve"> the Commission was considering its response to a formal request for intervention</w:t>
      </w:r>
      <w:r w:rsidR="003B707A">
        <w:rPr>
          <w:rFonts w:cs="Arial"/>
        </w:rPr>
        <w:t>;</w:t>
      </w:r>
    </w:p>
    <w:p w:rsidR="00C105A9" w:rsidRDefault="00C02229" w:rsidP="00036F32">
      <w:pPr>
        <w:ind w:left="1440" w:hanging="720"/>
        <w:rPr>
          <w:rFonts w:cs="Arial"/>
        </w:rPr>
      </w:pPr>
      <w:r>
        <w:rPr>
          <w:rFonts w:cs="Arial"/>
        </w:rPr>
        <w:t>b)</w:t>
      </w:r>
      <w:r>
        <w:rPr>
          <w:rFonts w:cs="Arial"/>
        </w:rPr>
        <w:tab/>
      </w:r>
      <w:r w:rsidR="003B707A">
        <w:rPr>
          <w:rFonts w:cs="Arial"/>
        </w:rPr>
        <w:t>f</w:t>
      </w:r>
      <w:r w:rsidR="00C105A9" w:rsidRPr="00C105A9">
        <w:rPr>
          <w:rFonts w:cs="Arial"/>
        </w:rPr>
        <w:t xml:space="preserve">reedom of </w:t>
      </w:r>
      <w:r w:rsidR="003B707A">
        <w:rPr>
          <w:rFonts w:cs="Arial"/>
        </w:rPr>
        <w:t>s</w:t>
      </w:r>
      <w:r w:rsidR="00C105A9" w:rsidRPr="00C105A9">
        <w:rPr>
          <w:rFonts w:cs="Arial"/>
        </w:rPr>
        <w:t>peech</w:t>
      </w:r>
      <w:r w:rsidR="003B707A">
        <w:rPr>
          <w:rFonts w:cs="Arial"/>
        </w:rPr>
        <w:t xml:space="preserve">, on which - </w:t>
      </w:r>
      <w:r w:rsidR="00C105A9">
        <w:rPr>
          <w:rFonts w:cs="Arial"/>
        </w:rPr>
        <w:t>following the publication of Commiss</w:t>
      </w:r>
      <w:r w:rsidR="003B707A">
        <w:rPr>
          <w:rFonts w:cs="Arial"/>
        </w:rPr>
        <w:t>ion g</w:t>
      </w:r>
      <w:r w:rsidR="00F44408">
        <w:rPr>
          <w:rFonts w:cs="Arial"/>
        </w:rPr>
        <w:t xml:space="preserve">uidance </w:t>
      </w:r>
      <w:r w:rsidR="003B707A">
        <w:rPr>
          <w:rFonts w:cs="Arial"/>
        </w:rPr>
        <w:t xml:space="preserve">- </w:t>
      </w:r>
      <w:r w:rsidR="00F44408">
        <w:rPr>
          <w:rFonts w:cs="Arial"/>
        </w:rPr>
        <w:t>David Isaac had spo</w:t>
      </w:r>
      <w:r w:rsidR="00C105A9">
        <w:rPr>
          <w:rFonts w:cs="Arial"/>
        </w:rPr>
        <w:t xml:space="preserve">ken at </w:t>
      </w:r>
      <w:r>
        <w:rPr>
          <w:rFonts w:cs="Arial"/>
        </w:rPr>
        <w:t>an Inside Government event</w:t>
      </w:r>
      <w:r w:rsidR="003B707A">
        <w:rPr>
          <w:rFonts w:cs="Arial"/>
        </w:rPr>
        <w:t>;</w:t>
      </w:r>
    </w:p>
    <w:p w:rsidR="00C02229" w:rsidRDefault="00C02229" w:rsidP="00036F32">
      <w:pPr>
        <w:ind w:left="1440" w:hanging="720"/>
        <w:rPr>
          <w:rFonts w:cs="Arial"/>
        </w:rPr>
      </w:pPr>
      <w:r>
        <w:rPr>
          <w:rFonts w:cs="Arial"/>
        </w:rPr>
        <w:t>c)</w:t>
      </w:r>
      <w:r>
        <w:rPr>
          <w:rFonts w:cs="Arial"/>
        </w:rPr>
        <w:tab/>
      </w:r>
      <w:r w:rsidR="003B707A">
        <w:rPr>
          <w:rFonts w:cs="Arial"/>
        </w:rPr>
        <w:t>g</w:t>
      </w:r>
      <w:r>
        <w:rPr>
          <w:rFonts w:cs="Arial"/>
        </w:rPr>
        <w:t>ender pay gap reporting, where</w:t>
      </w:r>
      <w:r w:rsidR="00C105A9" w:rsidRPr="00C02229">
        <w:rPr>
          <w:rFonts w:cs="Arial"/>
        </w:rPr>
        <w:t xml:space="preserve"> </w:t>
      </w:r>
      <w:r>
        <w:rPr>
          <w:rFonts w:cs="Arial"/>
        </w:rPr>
        <w:t>c</w:t>
      </w:r>
      <w:r w:rsidR="00C105A9" w:rsidRPr="00C02229">
        <w:rPr>
          <w:rFonts w:cs="Arial"/>
        </w:rPr>
        <w:t xml:space="preserve">overage </w:t>
      </w:r>
      <w:r>
        <w:rPr>
          <w:rFonts w:cs="Arial"/>
        </w:rPr>
        <w:t>was significantly</w:t>
      </w:r>
      <w:r w:rsidR="00C105A9" w:rsidRPr="00C02229">
        <w:rPr>
          <w:rFonts w:cs="Arial"/>
        </w:rPr>
        <w:t xml:space="preserve"> lower </w:t>
      </w:r>
      <w:r>
        <w:rPr>
          <w:rFonts w:cs="Arial"/>
        </w:rPr>
        <w:t xml:space="preserve">key </w:t>
      </w:r>
      <w:r w:rsidR="00C105A9" w:rsidRPr="00C02229">
        <w:rPr>
          <w:rFonts w:cs="Arial"/>
        </w:rPr>
        <w:t xml:space="preserve">than </w:t>
      </w:r>
      <w:r>
        <w:rPr>
          <w:rFonts w:cs="Arial"/>
        </w:rPr>
        <w:t xml:space="preserve">in the first year of reporting, and more focussed on the impact of the regulations themselves. The Board felt that it should reflect further on the ask of </w:t>
      </w:r>
      <w:r w:rsidR="00F44408">
        <w:rPr>
          <w:rFonts w:cs="Arial"/>
        </w:rPr>
        <w:t>Government</w:t>
      </w:r>
      <w:r>
        <w:rPr>
          <w:rFonts w:cs="Arial"/>
        </w:rPr>
        <w:t xml:space="preserve"> and forward working with the </w:t>
      </w:r>
      <w:r w:rsidR="00F44408">
        <w:rPr>
          <w:rFonts w:cs="Arial"/>
        </w:rPr>
        <w:t>Government</w:t>
      </w:r>
      <w:r>
        <w:rPr>
          <w:rFonts w:cs="Arial"/>
        </w:rPr>
        <w:t xml:space="preserve"> Equalities Office on </w:t>
      </w:r>
      <w:r w:rsidR="00F44408">
        <w:rPr>
          <w:rFonts w:cs="Arial"/>
        </w:rPr>
        <w:t>Gender</w:t>
      </w:r>
      <w:r>
        <w:rPr>
          <w:rFonts w:cs="Arial"/>
        </w:rPr>
        <w:t xml:space="preserve"> Pay gap reporting and asked for a paper to be brought to a future meeting: </w:t>
      </w:r>
      <w:r w:rsidRPr="00C02229">
        <w:rPr>
          <w:rFonts w:cs="Arial"/>
          <w:b/>
        </w:rPr>
        <w:t>Action: A</w:t>
      </w:r>
      <w:r w:rsidR="003B707A">
        <w:rPr>
          <w:rFonts w:cs="Arial"/>
          <w:b/>
        </w:rPr>
        <w:t>lasdair MacDonald</w:t>
      </w:r>
    </w:p>
    <w:p w:rsidR="00C02229" w:rsidRDefault="002C6E74" w:rsidP="00036F32">
      <w:pPr>
        <w:ind w:left="1440" w:hanging="720"/>
        <w:rPr>
          <w:rFonts w:cs="Arial"/>
        </w:rPr>
      </w:pPr>
      <w:r>
        <w:rPr>
          <w:rFonts w:cs="Arial"/>
        </w:rPr>
        <w:t>d)</w:t>
      </w:r>
      <w:r>
        <w:rPr>
          <w:rFonts w:cs="Arial"/>
        </w:rPr>
        <w:tab/>
      </w:r>
      <w:r w:rsidR="003B707A">
        <w:rPr>
          <w:rFonts w:cs="Arial"/>
        </w:rPr>
        <w:t>racism and discrimination in Sport, with Susan Johnson flagging</w:t>
      </w:r>
      <w:r w:rsidR="00C02229">
        <w:rPr>
          <w:rFonts w:cs="Arial"/>
        </w:rPr>
        <w:t xml:space="preserve"> the work being done on this issue by the Sports Ground Safety Authority and opportunities for c</w:t>
      </w:r>
      <w:r w:rsidR="003B707A">
        <w:rPr>
          <w:rFonts w:cs="Arial"/>
        </w:rPr>
        <w:t>o-ordinated regulatory activity;</w:t>
      </w:r>
    </w:p>
    <w:p w:rsidR="0039139D" w:rsidRPr="002C6E74" w:rsidRDefault="002C6E74" w:rsidP="00036F32">
      <w:pPr>
        <w:ind w:left="1440" w:hanging="720"/>
        <w:rPr>
          <w:rFonts w:cs="Arial"/>
        </w:rPr>
      </w:pPr>
      <w:r>
        <w:rPr>
          <w:rFonts w:cs="Arial"/>
        </w:rPr>
        <w:t xml:space="preserve">e) </w:t>
      </w:r>
      <w:r>
        <w:rPr>
          <w:rFonts w:cs="Arial"/>
        </w:rPr>
        <w:tab/>
      </w:r>
      <w:r w:rsidR="003B707A">
        <w:rPr>
          <w:rFonts w:cs="Arial"/>
        </w:rPr>
        <w:t>p</w:t>
      </w:r>
      <w:r w:rsidR="00C105A9" w:rsidRPr="002C6E74">
        <w:rPr>
          <w:rFonts w:cs="Arial"/>
        </w:rPr>
        <w:t>ension ages</w:t>
      </w:r>
      <w:r w:rsidR="003B707A">
        <w:rPr>
          <w:rFonts w:cs="Arial"/>
        </w:rPr>
        <w:t>, on which</w:t>
      </w:r>
      <w:r w:rsidRPr="002C6E74">
        <w:rPr>
          <w:rFonts w:cs="Arial"/>
        </w:rPr>
        <w:t xml:space="preserve"> Rebecca Hilsenrath explained that recent legal correspondence has advised that the Commission could not formally intervene in the cases </w:t>
      </w:r>
      <w:r w:rsidR="003B707A">
        <w:rPr>
          <w:rFonts w:cs="Arial"/>
        </w:rPr>
        <w:t>currently being brought by some w</w:t>
      </w:r>
      <w:r w:rsidRPr="002C6E74">
        <w:rPr>
          <w:rFonts w:cs="Arial"/>
        </w:rPr>
        <w:t xml:space="preserve">omen’s groups. However the Commission had raised their concerns </w:t>
      </w:r>
      <w:r w:rsidR="00C105A9" w:rsidRPr="002C6E74">
        <w:rPr>
          <w:rFonts w:cs="Arial"/>
        </w:rPr>
        <w:t xml:space="preserve">at the UN and </w:t>
      </w:r>
      <w:r w:rsidRPr="002C6E74">
        <w:rPr>
          <w:rFonts w:cs="Arial"/>
        </w:rPr>
        <w:t>i</w:t>
      </w:r>
      <w:r w:rsidR="00C105A9" w:rsidRPr="002C6E74">
        <w:rPr>
          <w:rFonts w:cs="Arial"/>
        </w:rPr>
        <w:t xml:space="preserve">n </w:t>
      </w:r>
      <w:r w:rsidRPr="002C6E74">
        <w:rPr>
          <w:rFonts w:cs="Arial"/>
        </w:rPr>
        <w:t>its</w:t>
      </w:r>
      <w:r w:rsidR="00C105A9" w:rsidRPr="002C6E74">
        <w:rPr>
          <w:rFonts w:cs="Arial"/>
        </w:rPr>
        <w:t xml:space="preserve"> CEDAW submission. </w:t>
      </w:r>
    </w:p>
    <w:p w:rsidR="002C6E74" w:rsidRPr="0039139D" w:rsidRDefault="002C6E74" w:rsidP="00036F32">
      <w:pPr>
        <w:ind w:left="720" w:hanging="720"/>
        <w:rPr>
          <w:rFonts w:cs="Arial"/>
        </w:rPr>
      </w:pPr>
    </w:p>
    <w:p w:rsidR="00CF4570" w:rsidRPr="003B707A" w:rsidRDefault="003B707A" w:rsidP="00036F32">
      <w:pPr>
        <w:ind w:left="720" w:hanging="720"/>
        <w:rPr>
          <w:rFonts w:cs="Arial"/>
          <w:color w:val="000000" w:themeColor="text1"/>
        </w:rPr>
      </w:pPr>
      <w:r>
        <w:rPr>
          <w:rFonts w:cs="Arial"/>
        </w:rPr>
        <w:t>6.3</w:t>
      </w:r>
      <w:r>
        <w:rPr>
          <w:rFonts w:cs="Arial"/>
        </w:rPr>
        <w:tab/>
      </w:r>
      <w:r w:rsidR="0039139D" w:rsidRPr="003B707A">
        <w:rPr>
          <w:rFonts w:cs="Arial"/>
        </w:rPr>
        <w:t xml:space="preserve">Board members </w:t>
      </w:r>
      <w:r w:rsidR="00CF4570" w:rsidRPr="003B707A">
        <w:rPr>
          <w:rFonts w:cs="Arial"/>
        </w:rPr>
        <w:t>discussed the 2</w:t>
      </w:r>
      <w:r w:rsidR="007713B7" w:rsidRPr="003B707A">
        <w:rPr>
          <w:rFonts w:cs="Arial"/>
        </w:rPr>
        <w:t>018-19 financial outturn. While t</w:t>
      </w:r>
      <w:r w:rsidR="00CF4570" w:rsidRPr="003B707A">
        <w:rPr>
          <w:rFonts w:cs="Arial"/>
          <w:color w:val="000000" w:themeColor="text1"/>
        </w:rPr>
        <w:t xml:space="preserve">he underspend variance was within the tolerance set by the Board when agreeing the 2018/19 key performance indicators, the Board felt there was scope for further improvement </w:t>
      </w:r>
      <w:r w:rsidR="007713B7" w:rsidRPr="003B707A">
        <w:rPr>
          <w:rFonts w:cs="Arial"/>
          <w:color w:val="000000" w:themeColor="text1"/>
        </w:rPr>
        <w:t xml:space="preserve">and efficiency </w:t>
      </w:r>
      <w:r w:rsidR="00CF4570" w:rsidRPr="003B707A">
        <w:rPr>
          <w:rFonts w:cs="Arial"/>
          <w:color w:val="000000" w:themeColor="text1"/>
        </w:rPr>
        <w:t>in</w:t>
      </w:r>
      <w:r w:rsidR="00A47562" w:rsidRPr="003B707A">
        <w:rPr>
          <w:rFonts w:cs="Arial"/>
          <w:color w:val="000000" w:themeColor="text1"/>
        </w:rPr>
        <w:t xml:space="preserve"> </w:t>
      </w:r>
      <w:r w:rsidR="00CF4570" w:rsidRPr="003B707A">
        <w:rPr>
          <w:rFonts w:cs="Arial"/>
          <w:color w:val="000000" w:themeColor="text1"/>
        </w:rPr>
        <w:t xml:space="preserve">this area. It noted </w:t>
      </w:r>
      <w:r w:rsidR="007713B7" w:rsidRPr="003B707A">
        <w:rPr>
          <w:rFonts w:cs="Arial"/>
          <w:color w:val="000000" w:themeColor="text1"/>
        </w:rPr>
        <w:t xml:space="preserve">the </w:t>
      </w:r>
      <w:r w:rsidR="00CF4570" w:rsidRPr="003B707A">
        <w:rPr>
          <w:rFonts w:cs="Arial"/>
          <w:color w:val="000000" w:themeColor="text1"/>
        </w:rPr>
        <w:t>executive</w:t>
      </w:r>
      <w:r w:rsidR="002954DF" w:rsidRPr="003B707A">
        <w:rPr>
          <w:rFonts w:cs="Arial"/>
          <w:color w:val="000000" w:themeColor="text1"/>
        </w:rPr>
        <w:t>’</w:t>
      </w:r>
      <w:r w:rsidR="00CF4570" w:rsidRPr="003B707A">
        <w:rPr>
          <w:rFonts w:cs="Arial"/>
          <w:color w:val="000000" w:themeColor="text1"/>
        </w:rPr>
        <w:t>s proposals for</w:t>
      </w:r>
      <w:r w:rsidR="007713B7" w:rsidRPr="003B707A">
        <w:rPr>
          <w:rFonts w:cs="Arial"/>
          <w:color w:val="000000" w:themeColor="text1"/>
        </w:rPr>
        <w:t>:</w:t>
      </w:r>
      <w:r w:rsidR="00CF4570" w:rsidRPr="003B707A">
        <w:rPr>
          <w:rFonts w:cs="Arial"/>
          <w:color w:val="000000" w:themeColor="text1"/>
        </w:rPr>
        <w:t xml:space="preserve"> </w:t>
      </w:r>
    </w:p>
    <w:p w:rsidR="002954DF" w:rsidRPr="002954DF" w:rsidRDefault="002954DF" w:rsidP="00036F32">
      <w:pPr>
        <w:ind w:left="720" w:hanging="720"/>
        <w:rPr>
          <w:rFonts w:cs="Arial"/>
          <w:color w:val="000000" w:themeColor="text1"/>
        </w:rPr>
      </w:pPr>
    </w:p>
    <w:p w:rsidR="00CF4570" w:rsidRDefault="00036F32" w:rsidP="00036F32">
      <w:pPr>
        <w:ind w:left="1440" w:hanging="720"/>
        <w:rPr>
          <w:rFonts w:cs="Arial"/>
          <w:color w:val="000000" w:themeColor="text1"/>
        </w:rPr>
      </w:pPr>
      <w:r>
        <w:rPr>
          <w:rFonts w:cs="Arial"/>
          <w:color w:val="000000" w:themeColor="text1"/>
        </w:rPr>
        <w:t>a)</w:t>
      </w:r>
      <w:r>
        <w:rPr>
          <w:rFonts w:cs="Arial"/>
          <w:color w:val="000000" w:themeColor="text1"/>
        </w:rPr>
        <w:tab/>
      </w:r>
      <w:r w:rsidR="00CF4570">
        <w:rPr>
          <w:rFonts w:cs="Arial"/>
          <w:color w:val="000000" w:themeColor="text1"/>
        </w:rPr>
        <w:t xml:space="preserve">strengthening financial accountability in the performance management system; </w:t>
      </w:r>
    </w:p>
    <w:p w:rsidR="00CF4570" w:rsidRDefault="00036F32" w:rsidP="00036F32">
      <w:pPr>
        <w:ind w:left="1440" w:hanging="720"/>
        <w:rPr>
          <w:rFonts w:cs="Arial"/>
          <w:color w:val="000000" w:themeColor="text1"/>
        </w:rPr>
      </w:pPr>
      <w:r>
        <w:rPr>
          <w:rFonts w:cs="Arial"/>
          <w:color w:val="000000" w:themeColor="text1"/>
        </w:rPr>
        <w:t>b)</w:t>
      </w:r>
      <w:r>
        <w:rPr>
          <w:rFonts w:cs="Arial"/>
          <w:color w:val="000000" w:themeColor="text1"/>
        </w:rPr>
        <w:tab/>
      </w:r>
      <w:r w:rsidR="00CF4570">
        <w:rPr>
          <w:rFonts w:cs="Arial"/>
          <w:color w:val="000000" w:themeColor="text1"/>
        </w:rPr>
        <w:t>putting in place mandatory financial and commercial training including financial forecasting for Principals an</w:t>
      </w:r>
      <w:r w:rsidR="001117C5">
        <w:rPr>
          <w:rFonts w:cs="Arial"/>
          <w:color w:val="000000" w:themeColor="text1"/>
        </w:rPr>
        <w:t>d all Executive Group members;</w:t>
      </w:r>
      <w:r w:rsidR="00CF4570">
        <w:rPr>
          <w:rFonts w:cs="Arial"/>
          <w:color w:val="000000" w:themeColor="text1"/>
        </w:rPr>
        <w:t xml:space="preserve"> </w:t>
      </w:r>
    </w:p>
    <w:p w:rsidR="00CF4570" w:rsidRDefault="00036F32" w:rsidP="00036F32">
      <w:pPr>
        <w:ind w:left="1440" w:hanging="720"/>
        <w:rPr>
          <w:rFonts w:cs="Arial"/>
          <w:color w:val="000000" w:themeColor="text1"/>
        </w:rPr>
      </w:pPr>
      <w:r>
        <w:rPr>
          <w:rFonts w:cs="Arial"/>
          <w:color w:val="000000" w:themeColor="text1"/>
        </w:rPr>
        <w:t>c)</w:t>
      </w:r>
      <w:r>
        <w:rPr>
          <w:rFonts w:cs="Arial"/>
          <w:color w:val="000000" w:themeColor="text1"/>
        </w:rPr>
        <w:tab/>
      </w:r>
      <w:r w:rsidR="00CF4570">
        <w:rPr>
          <w:rFonts w:cs="Arial"/>
          <w:color w:val="000000" w:themeColor="text1"/>
        </w:rPr>
        <w:t>strengthening finance business partnering support for parts of the Commission wit</w:t>
      </w:r>
      <w:r w:rsidR="001117C5">
        <w:rPr>
          <w:rFonts w:cs="Arial"/>
          <w:color w:val="000000" w:themeColor="text1"/>
        </w:rPr>
        <w:t>h complexity and variable costs;</w:t>
      </w:r>
      <w:r w:rsidR="00CF4570">
        <w:rPr>
          <w:rFonts w:cs="Arial"/>
          <w:color w:val="000000" w:themeColor="text1"/>
        </w:rPr>
        <w:t xml:space="preserve"> </w:t>
      </w:r>
    </w:p>
    <w:p w:rsidR="00CF4570" w:rsidRDefault="00036F32" w:rsidP="00036F32">
      <w:pPr>
        <w:ind w:left="1440" w:hanging="720"/>
        <w:rPr>
          <w:rFonts w:cs="Arial"/>
          <w:color w:val="000000" w:themeColor="text1"/>
        </w:rPr>
      </w:pPr>
      <w:r>
        <w:rPr>
          <w:rFonts w:cs="Arial"/>
          <w:color w:val="000000" w:themeColor="text1"/>
        </w:rPr>
        <w:t>d)</w:t>
      </w:r>
      <w:r>
        <w:rPr>
          <w:rFonts w:cs="Arial"/>
          <w:color w:val="000000" w:themeColor="text1"/>
        </w:rPr>
        <w:tab/>
      </w:r>
      <w:r w:rsidR="00CF4570">
        <w:rPr>
          <w:rFonts w:cs="Arial"/>
          <w:color w:val="000000" w:themeColor="text1"/>
        </w:rPr>
        <w:t>more proactive monitoring arrangements via the Delivery Group and a new delegation framework that underlines the responsibilities of budget holders</w:t>
      </w:r>
      <w:r w:rsidR="001117C5">
        <w:rPr>
          <w:rFonts w:cs="Arial"/>
          <w:color w:val="000000" w:themeColor="text1"/>
        </w:rPr>
        <w:t>;</w:t>
      </w:r>
    </w:p>
    <w:p w:rsidR="00A47562" w:rsidRDefault="00A47562" w:rsidP="00036F32">
      <w:pPr>
        <w:ind w:left="720" w:hanging="720"/>
        <w:rPr>
          <w:rFonts w:cs="Arial"/>
          <w:color w:val="000000" w:themeColor="text1"/>
        </w:rPr>
      </w:pPr>
    </w:p>
    <w:p w:rsidR="00CF4570" w:rsidRDefault="002954DF" w:rsidP="00036F32">
      <w:pPr>
        <w:ind w:left="720"/>
        <w:rPr>
          <w:rFonts w:cs="Arial"/>
          <w:color w:val="000000" w:themeColor="text1"/>
        </w:rPr>
      </w:pPr>
      <w:r>
        <w:rPr>
          <w:rFonts w:cs="Arial"/>
          <w:color w:val="000000" w:themeColor="text1"/>
        </w:rPr>
        <w:t xml:space="preserve">which took forward measures </w:t>
      </w:r>
      <w:r w:rsidR="00CF4570">
        <w:rPr>
          <w:rFonts w:cs="Arial"/>
          <w:color w:val="000000" w:themeColor="text1"/>
        </w:rPr>
        <w:t>set</w:t>
      </w:r>
      <w:r>
        <w:rPr>
          <w:rFonts w:cs="Arial"/>
          <w:color w:val="000000" w:themeColor="text1"/>
        </w:rPr>
        <w:t xml:space="preserve"> </w:t>
      </w:r>
      <w:r w:rsidR="00CF4570">
        <w:rPr>
          <w:rFonts w:cs="Arial"/>
          <w:color w:val="000000" w:themeColor="text1"/>
        </w:rPr>
        <w:t>out in the Finance Strategy and Development Plan scrutinised by ARAC in September 2018</w:t>
      </w:r>
    </w:p>
    <w:p w:rsidR="00A47562" w:rsidRDefault="00A47562" w:rsidP="00036F32">
      <w:pPr>
        <w:ind w:left="720" w:hanging="720"/>
        <w:rPr>
          <w:rFonts w:cs="Arial"/>
          <w:color w:val="000000" w:themeColor="text1"/>
        </w:rPr>
      </w:pPr>
    </w:p>
    <w:p w:rsidR="00CF4570" w:rsidRDefault="001117C5" w:rsidP="00036F32">
      <w:pPr>
        <w:ind w:left="720" w:hanging="720"/>
        <w:rPr>
          <w:rFonts w:cs="Arial"/>
          <w:color w:val="000000" w:themeColor="text1"/>
        </w:rPr>
      </w:pPr>
      <w:r>
        <w:rPr>
          <w:rFonts w:cs="Arial"/>
          <w:color w:val="000000" w:themeColor="text1"/>
        </w:rPr>
        <w:t>6.4</w:t>
      </w:r>
      <w:r w:rsidR="002954DF">
        <w:rPr>
          <w:rFonts w:cs="Arial"/>
          <w:color w:val="000000" w:themeColor="text1"/>
        </w:rPr>
        <w:tab/>
      </w:r>
      <w:r w:rsidR="0036728D">
        <w:rPr>
          <w:rFonts w:cs="Arial"/>
          <w:color w:val="000000" w:themeColor="text1"/>
        </w:rPr>
        <w:t xml:space="preserve">Board members </w:t>
      </w:r>
      <w:r w:rsidR="001409FB">
        <w:rPr>
          <w:rFonts w:cs="Arial"/>
          <w:color w:val="000000" w:themeColor="text1"/>
        </w:rPr>
        <w:t>noted advice fr</w:t>
      </w:r>
      <w:r w:rsidR="00DC11CF">
        <w:rPr>
          <w:rFonts w:cs="Arial"/>
          <w:color w:val="000000" w:themeColor="text1"/>
        </w:rPr>
        <w:t>o</w:t>
      </w:r>
      <w:r w:rsidR="001409FB">
        <w:rPr>
          <w:rFonts w:cs="Arial"/>
          <w:color w:val="000000" w:themeColor="text1"/>
        </w:rPr>
        <w:t xml:space="preserve">m the NAO that typical levels of NDPB underspend ranged from </w:t>
      </w:r>
      <w:r w:rsidR="002954DF">
        <w:rPr>
          <w:rFonts w:cs="Arial"/>
          <w:color w:val="000000" w:themeColor="text1"/>
        </w:rPr>
        <w:t>1-5%</w:t>
      </w:r>
      <w:r w:rsidR="001409FB">
        <w:rPr>
          <w:rFonts w:cs="Arial"/>
          <w:color w:val="000000" w:themeColor="text1"/>
        </w:rPr>
        <w:t xml:space="preserve"> and </w:t>
      </w:r>
      <w:r w:rsidR="00B86967">
        <w:rPr>
          <w:rFonts w:cs="Arial"/>
          <w:color w:val="000000" w:themeColor="text1"/>
        </w:rPr>
        <w:t xml:space="preserve">acknowledged the </w:t>
      </w:r>
      <w:r w:rsidR="007713B7">
        <w:rPr>
          <w:rFonts w:cs="Arial"/>
          <w:color w:val="000000" w:themeColor="text1"/>
        </w:rPr>
        <w:t xml:space="preserve">implications of an over-ambitious approach that landed the Commission in overspend. </w:t>
      </w:r>
      <w:r w:rsidR="001409FB">
        <w:rPr>
          <w:rFonts w:cs="Arial"/>
          <w:color w:val="000000" w:themeColor="text1"/>
        </w:rPr>
        <w:t xml:space="preserve">The Board felt nonetheless that improvements could be made to the pacing </w:t>
      </w:r>
      <w:r w:rsidR="007F226C">
        <w:rPr>
          <w:rFonts w:cs="Arial"/>
          <w:color w:val="000000" w:themeColor="text1"/>
        </w:rPr>
        <w:t xml:space="preserve">and control </w:t>
      </w:r>
      <w:r w:rsidR="001409FB">
        <w:rPr>
          <w:rFonts w:cs="Arial"/>
          <w:color w:val="000000" w:themeColor="text1"/>
        </w:rPr>
        <w:t>of the Commission’s deli</w:t>
      </w:r>
      <w:r w:rsidR="007F226C">
        <w:rPr>
          <w:rFonts w:cs="Arial"/>
          <w:color w:val="000000" w:themeColor="text1"/>
        </w:rPr>
        <w:t>very through the financial year.</w:t>
      </w:r>
      <w:r w:rsidR="001409FB">
        <w:rPr>
          <w:rFonts w:cs="Arial"/>
          <w:color w:val="000000" w:themeColor="text1"/>
        </w:rPr>
        <w:t xml:space="preserve"> The B</w:t>
      </w:r>
      <w:r w:rsidR="00CF4570">
        <w:rPr>
          <w:rFonts w:cs="Arial"/>
          <w:color w:val="000000" w:themeColor="text1"/>
        </w:rPr>
        <w:t>oard welcomed the executive</w:t>
      </w:r>
      <w:r w:rsidR="002954DF">
        <w:rPr>
          <w:rFonts w:cs="Arial"/>
          <w:color w:val="000000" w:themeColor="text1"/>
        </w:rPr>
        <w:t>’</w:t>
      </w:r>
      <w:r w:rsidR="00CF4570">
        <w:rPr>
          <w:rFonts w:cs="Arial"/>
          <w:color w:val="000000" w:themeColor="text1"/>
        </w:rPr>
        <w:t>s commitment to improve and strengthen performance in</w:t>
      </w:r>
      <w:r w:rsidR="00A47562">
        <w:rPr>
          <w:rFonts w:cs="Arial"/>
          <w:color w:val="000000" w:themeColor="text1"/>
        </w:rPr>
        <w:t xml:space="preserve"> future years and noted that a </w:t>
      </w:r>
      <w:r w:rsidR="00CF4570">
        <w:rPr>
          <w:rFonts w:cs="Arial"/>
          <w:color w:val="000000" w:themeColor="text1"/>
        </w:rPr>
        <w:t>comprehensive lessons l</w:t>
      </w:r>
      <w:r w:rsidR="007713B7">
        <w:rPr>
          <w:rFonts w:cs="Arial"/>
          <w:color w:val="000000" w:themeColor="text1"/>
        </w:rPr>
        <w:t xml:space="preserve">earnt exercise being led by </w:t>
      </w:r>
      <w:r w:rsidR="005D4E7F">
        <w:rPr>
          <w:rFonts w:cs="Arial"/>
          <w:color w:val="000000" w:themeColor="text1"/>
        </w:rPr>
        <w:t xml:space="preserve">Ben Wilson was </w:t>
      </w:r>
      <w:r w:rsidR="00CF4570">
        <w:rPr>
          <w:rFonts w:cs="Arial"/>
          <w:color w:val="000000" w:themeColor="text1"/>
        </w:rPr>
        <w:t>be</w:t>
      </w:r>
      <w:r w:rsidR="005D4E7F">
        <w:rPr>
          <w:rFonts w:cs="Arial"/>
          <w:color w:val="000000" w:themeColor="text1"/>
        </w:rPr>
        <w:t>ing</w:t>
      </w:r>
      <w:r w:rsidR="00CF4570">
        <w:rPr>
          <w:rFonts w:cs="Arial"/>
          <w:color w:val="000000" w:themeColor="text1"/>
        </w:rPr>
        <w:t xml:space="preserve"> prepared </w:t>
      </w:r>
      <w:r w:rsidR="005D4E7F">
        <w:rPr>
          <w:rFonts w:cs="Arial"/>
          <w:color w:val="000000" w:themeColor="text1"/>
        </w:rPr>
        <w:t xml:space="preserve">for </w:t>
      </w:r>
      <w:r w:rsidR="00CF4570">
        <w:rPr>
          <w:rFonts w:cs="Arial"/>
          <w:color w:val="000000" w:themeColor="text1"/>
        </w:rPr>
        <w:t xml:space="preserve">report to the Audit and Risk Assurance Committee in June. </w:t>
      </w:r>
      <w:r w:rsidR="007F226C">
        <w:rPr>
          <w:rFonts w:cs="Arial"/>
          <w:color w:val="000000" w:themeColor="text1"/>
        </w:rPr>
        <w:t>With ARAC’s input, the Board w</w:t>
      </w:r>
      <w:r w:rsidR="00A47562">
        <w:rPr>
          <w:rFonts w:cs="Arial"/>
          <w:color w:val="000000" w:themeColor="text1"/>
        </w:rPr>
        <w:t>o</w:t>
      </w:r>
      <w:r w:rsidR="007F226C">
        <w:rPr>
          <w:rFonts w:cs="Arial"/>
          <w:color w:val="000000" w:themeColor="text1"/>
        </w:rPr>
        <w:t>uld</w:t>
      </w:r>
      <w:r w:rsidR="00A47562">
        <w:rPr>
          <w:rFonts w:cs="Arial"/>
          <w:color w:val="000000" w:themeColor="text1"/>
        </w:rPr>
        <w:t xml:space="preserve"> consider lessons learned </w:t>
      </w:r>
      <w:r w:rsidR="005D4E7F">
        <w:rPr>
          <w:rFonts w:cs="Arial"/>
          <w:color w:val="000000" w:themeColor="text1"/>
        </w:rPr>
        <w:t xml:space="preserve">at its July meeting including </w:t>
      </w:r>
      <w:r w:rsidR="00DC18FE">
        <w:rPr>
          <w:rFonts w:cs="Arial"/>
          <w:color w:val="000000" w:themeColor="text1"/>
        </w:rPr>
        <w:t>the scope for recalibrati</w:t>
      </w:r>
      <w:r w:rsidR="00A47562">
        <w:rPr>
          <w:rFonts w:cs="Arial"/>
          <w:color w:val="000000" w:themeColor="text1"/>
        </w:rPr>
        <w:t>ng the 3% tolerance</w:t>
      </w:r>
      <w:r w:rsidR="007713B7">
        <w:rPr>
          <w:rFonts w:cs="Arial"/>
          <w:color w:val="000000" w:themeColor="text1"/>
        </w:rPr>
        <w:t xml:space="preserve"> for the 2020-21 Business plan</w:t>
      </w:r>
      <w:r w:rsidR="002954DF">
        <w:rPr>
          <w:rFonts w:cs="Arial"/>
          <w:color w:val="000000" w:themeColor="text1"/>
        </w:rPr>
        <w:t>.</w:t>
      </w:r>
    </w:p>
    <w:p w:rsidR="002954DF" w:rsidRDefault="002954DF" w:rsidP="00036F32">
      <w:pPr>
        <w:ind w:left="720" w:hanging="720"/>
        <w:rPr>
          <w:rFonts w:cs="Arial"/>
          <w:color w:val="000000" w:themeColor="text1"/>
        </w:rPr>
      </w:pPr>
    </w:p>
    <w:p w:rsidR="002954DF" w:rsidRDefault="002954DF" w:rsidP="00036F32">
      <w:pPr>
        <w:ind w:left="720"/>
        <w:rPr>
          <w:rFonts w:cs="Arial"/>
          <w:color w:val="000000" w:themeColor="text1"/>
        </w:rPr>
      </w:pPr>
      <w:r w:rsidRPr="002954DF">
        <w:rPr>
          <w:rFonts w:cs="Arial"/>
          <w:b/>
          <w:color w:val="000000" w:themeColor="text1"/>
        </w:rPr>
        <w:t>Action: Ben Wilson</w:t>
      </w:r>
      <w:r>
        <w:rPr>
          <w:rFonts w:cs="Arial"/>
          <w:color w:val="000000" w:themeColor="text1"/>
        </w:rPr>
        <w:t xml:space="preserve"> </w:t>
      </w:r>
      <w:r w:rsidR="003918ED">
        <w:rPr>
          <w:rFonts w:cs="Arial"/>
          <w:color w:val="000000" w:themeColor="text1"/>
        </w:rPr>
        <w:t>to b</w:t>
      </w:r>
      <w:r>
        <w:rPr>
          <w:rFonts w:cs="Arial"/>
          <w:color w:val="000000" w:themeColor="text1"/>
        </w:rPr>
        <w:t xml:space="preserve">ring lessons learned report </w:t>
      </w:r>
      <w:r w:rsidR="00DC18FE">
        <w:rPr>
          <w:rFonts w:cs="Arial"/>
          <w:color w:val="000000" w:themeColor="text1"/>
        </w:rPr>
        <w:t>to next Board meeting for discu</w:t>
      </w:r>
      <w:r>
        <w:rPr>
          <w:rFonts w:cs="Arial"/>
          <w:color w:val="000000" w:themeColor="text1"/>
        </w:rPr>
        <w:t>ssion</w:t>
      </w:r>
    </w:p>
    <w:p w:rsidR="00CF4570" w:rsidRDefault="00CF4570" w:rsidP="00036F32">
      <w:pPr>
        <w:ind w:left="720" w:hanging="720"/>
        <w:rPr>
          <w:rFonts w:cs="Arial"/>
          <w:color w:val="000000" w:themeColor="text1"/>
        </w:rPr>
      </w:pPr>
    </w:p>
    <w:p w:rsidR="002954DF" w:rsidRDefault="001117C5" w:rsidP="00036F32">
      <w:pPr>
        <w:ind w:left="720" w:hanging="720"/>
        <w:rPr>
          <w:rFonts w:cs="Arial"/>
        </w:rPr>
      </w:pPr>
      <w:r>
        <w:rPr>
          <w:rFonts w:cs="Arial"/>
        </w:rPr>
        <w:t>6.5</w:t>
      </w:r>
      <w:r w:rsidR="00FD0102">
        <w:rPr>
          <w:rFonts w:cs="Arial"/>
        </w:rPr>
        <w:tab/>
      </w:r>
      <w:r w:rsidR="002954DF" w:rsidRPr="00FD0102">
        <w:rPr>
          <w:rFonts w:cs="Arial"/>
        </w:rPr>
        <w:t xml:space="preserve">Board reviewed </w:t>
      </w:r>
      <w:r w:rsidR="00AB26A1" w:rsidRPr="00FD0102">
        <w:rPr>
          <w:rFonts w:cs="Arial"/>
        </w:rPr>
        <w:t xml:space="preserve">the report </w:t>
      </w:r>
      <w:r w:rsidR="007F226C">
        <w:rPr>
          <w:rFonts w:cs="Arial"/>
        </w:rPr>
        <w:t>on c</w:t>
      </w:r>
      <w:r w:rsidR="00AB26A1" w:rsidRPr="00FD0102">
        <w:rPr>
          <w:rFonts w:cs="Arial"/>
        </w:rPr>
        <w:t xml:space="preserve">urrent </w:t>
      </w:r>
      <w:r w:rsidR="007F226C">
        <w:rPr>
          <w:rFonts w:cs="Arial"/>
        </w:rPr>
        <w:t>I</w:t>
      </w:r>
      <w:r w:rsidR="002954DF" w:rsidRPr="00FD0102">
        <w:rPr>
          <w:rFonts w:cs="Arial"/>
        </w:rPr>
        <w:t xml:space="preserve">nquiries </w:t>
      </w:r>
      <w:r w:rsidR="00AB26A1" w:rsidRPr="00FD0102">
        <w:rPr>
          <w:rFonts w:cs="Arial"/>
        </w:rPr>
        <w:t>(</w:t>
      </w:r>
      <w:r w:rsidR="00AB26A1" w:rsidRPr="007F226C">
        <w:rPr>
          <w:rFonts w:cs="Arial"/>
          <w:u w:val="single"/>
        </w:rPr>
        <w:t>EHRC 83.05</w:t>
      </w:r>
      <w:r w:rsidR="00FD0102">
        <w:rPr>
          <w:rFonts w:cs="Arial"/>
        </w:rPr>
        <w:t xml:space="preserve">) which summarised </w:t>
      </w:r>
      <w:r w:rsidR="00F44408">
        <w:rPr>
          <w:rFonts w:cs="Arial"/>
        </w:rPr>
        <w:t>progress</w:t>
      </w:r>
      <w:r w:rsidR="00FD0102">
        <w:rPr>
          <w:rFonts w:cs="Arial"/>
        </w:rPr>
        <w:t xml:space="preserve"> o</w:t>
      </w:r>
      <w:r w:rsidR="00C569B3">
        <w:rPr>
          <w:rFonts w:cs="Arial"/>
        </w:rPr>
        <w:t>n the Commission’</w:t>
      </w:r>
      <w:r w:rsidR="00FD0102">
        <w:rPr>
          <w:rFonts w:cs="Arial"/>
        </w:rPr>
        <w:t xml:space="preserve">s </w:t>
      </w:r>
      <w:r w:rsidR="007F226C">
        <w:rPr>
          <w:rFonts w:cs="Arial"/>
        </w:rPr>
        <w:t>legal a</w:t>
      </w:r>
      <w:r w:rsidR="00FD0102" w:rsidRPr="00AB26A1">
        <w:rPr>
          <w:rFonts w:cs="Arial"/>
        </w:rPr>
        <w:t>id Inquiry</w:t>
      </w:r>
      <w:r w:rsidR="00FD0102">
        <w:rPr>
          <w:rFonts w:cs="Arial"/>
        </w:rPr>
        <w:t xml:space="preserve">; the Inquiry into </w:t>
      </w:r>
      <w:r w:rsidR="007F226C">
        <w:rPr>
          <w:rFonts w:cs="Arial"/>
        </w:rPr>
        <w:t>h</w:t>
      </w:r>
      <w:r w:rsidR="00FD0102" w:rsidRPr="00AB26A1">
        <w:rPr>
          <w:rFonts w:cs="Arial"/>
        </w:rPr>
        <w:t>andling complaints of racism in higher education</w:t>
      </w:r>
      <w:r w:rsidR="00FD0102">
        <w:rPr>
          <w:rFonts w:cs="Arial"/>
        </w:rPr>
        <w:t xml:space="preserve">; and the Inquiry into </w:t>
      </w:r>
      <w:r w:rsidR="007F226C">
        <w:rPr>
          <w:rFonts w:cs="Arial"/>
        </w:rPr>
        <w:t>reasonable adjustments in the criminal j</w:t>
      </w:r>
      <w:r w:rsidR="003918ED">
        <w:rPr>
          <w:rFonts w:cs="Arial"/>
        </w:rPr>
        <w:t>ustice s</w:t>
      </w:r>
      <w:r w:rsidR="00FD0102" w:rsidRPr="00AB26A1">
        <w:rPr>
          <w:rFonts w:cs="Arial"/>
        </w:rPr>
        <w:t>ystem</w:t>
      </w:r>
      <w:r w:rsidR="00C569B3">
        <w:rPr>
          <w:rFonts w:cs="Arial"/>
        </w:rPr>
        <w:t>. The Boar</w:t>
      </w:r>
      <w:r w:rsidR="00FD0102">
        <w:rPr>
          <w:rFonts w:cs="Arial"/>
        </w:rPr>
        <w:t xml:space="preserve">d was content with progress and with the proposal for officers </w:t>
      </w:r>
      <w:r w:rsidR="00AB26A1" w:rsidRPr="00FD0102">
        <w:rPr>
          <w:rFonts w:cs="Arial"/>
        </w:rPr>
        <w:t>to sight relevant Commissioners on emerging findings from inquiries, to provide any strategic</w:t>
      </w:r>
      <w:r w:rsidR="00C569B3">
        <w:rPr>
          <w:rFonts w:cs="Arial"/>
        </w:rPr>
        <w:t xml:space="preserve"> steers. The Board</w:t>
      </w:r>
      <w:r w:rsidR="003918ED">
        <w:rPr>
          <w:rFonts w:cs="Arial"/>
        </w:rPr>
        <w:t xml:space="preserve"> noted that the Compliance team</w:t>
      </w:r>
      <w:r w:rsidR="00C569B3">
        <w:rPr>
          <w:rFonts w:cs="Arial"/>
        </w:rPr>
        <w:t xml:space="preserve"> w</w:t>
      </w:r>
      <w:r w:rsidR="00AB26A1" w:rsidRPr="00AB26A1">
        <w:rPr>
          <w:rFonts w:cs="Arial"/>
        </w:rPr>
        <w:t>a</w:t>
      </w:r>
      <w:r w:rsidR="00C569B3">
        <w:rPr>
          <w:rFonts w:cs="Arial"/>
        </w:rPr>
        <w:t>s</w:t>
      </w:r>
      <w:r w:rsidR="00AB26A1" w:rsidRPr="00AB26A1">
        <w:rPr>
          <w:rFonts w:cs="Arial"/>
        </w:rPr>
        <w:t xml:space="preserve"> </w:t>
      </w:r>
      <w:r w:rsidR="00C569B3">
        <w:rPr>
          <w:rFonts w:cs="Arial"/>
        </w:rPr>
        <w:t xml:space="preserve">developing a </w:t>
      </w:r>
      <w:r w:rsidR="00AB26A1" w:rsidRPr="00AB26A1">
        <w:rPr>
          <w:rFonts w:cs="Arial"/>
        </w:rPr>
        <w:t>strategy set</w:t>
      </w:r>
      <w:r w:rsidR="00C569B3">
        <w:rPr>
          <w:rFonts w:cs="Arial"/>
        </w:rPr>
        <w:t>ting</w:t>
      </w:r>
      <w:r w:rsidR="00AB26A1" w:rsidRPr="00AB26A1">
        <w:rPr>
          <w:rFonts w:cs="Arial"/>
        </w:rPr>
        <w:t xml:space="preserve"> out </w:t>
      </w:r>
      <w:r w:rsidR="007F226C">
        <w:rPr>
          <w:rFonts w:cs="Arial"/>
        </w:rPr>
        <w:t>the different types of I</w:t>
      </w:r>
      <w:r w:rsidR="00C569B3">
        <w:rPr>
          <w:rFonts w:cs="Arial"/>
        </w:rPr>
        <w:t>nquiry methodology</w:t>
      </w:r>
      <w:r w:rsidR="00AB26A1" w:rsidRPr="00AB26A1">
        <w:rPr>
          <w:rFonts w:cs="Arial"/>
        </w:rPr>
        <w:t xml:space="preserve"> </w:t>
      </w:r>
      <w:r w:rsidR="00C569B3">
        <w:rPr>
          <w:rFonts w:cs="Arial"/>
        </w:rPr>
        <w:t>for use</w:t>
      </w:r>
      <w:r w:rsidR="00AB26A1" w:rsidRPr="00AB26A1">
        <w:rPr>
          <w:rFonts w:cs="Arial"/>
        </w:rPr>
        <w:t xml:space="preserve"> in different situations</w:t>
      </w:r>
      <w:r w:rsidR="002C6E74">
        <w:rPr>
          <w:rFonts w:cs="Arial"/>
        </w:rPr>
        <w:t>, a</w:t>
      </w:r>
      <w:r w:rsidR="00C569B3">
        <w:rPr>
          <w:rFonts w:cs="Arial"/>
        </w:rPr>
        <w:t>nd looked forward to reviewing this at a future meeting.</w:t>
      </w:r>
    </w:p>
    <w:p w:rsidR="003A41F9" w:rsidRPr="003A41F9" w:rsidRDefault="003A41F9" w:rsidP="000047A5">
      <w:pPr>
        <w:jc w:val="right"/>
        <w:rPr>
          <w:rFonts w:ascii="Times New Roman" w:eastAsia="Times New Roman" w:hAnsi="Times New Roman"/>
          <w:lang w:eastAsia="en-GB"/>
        </w:rPr>
      </w:pPr>
    </w:p>
    <w:p w:rsidR="00137644" w:rsidRDefault="003A7F75" w:rsidP="00036F32">
      <w:pPr>
        <w:pStyle w:val="Heading1"/>
      </w:pPr>
      <w:r>
        <w:t>7</w:t>
      </w:r>
      <w:r w:rsidR="00EC43CD" w:rsidRPr="00603DBB">
        <w:t>.</w:t>
      </w:r>
      <w:r w:rsidR="00EC43CD" w:rsidRPr="00603DBB">
        <w:tab/>
      </w:r>
      <w:r w:rsidR="00F03B4F">
        <w:t xml:space="preserve">Committee </w:t>
      </w:r>
      <w:r w:rsidR="00C47DF8">
        <w:t xml:space="preserve">and Working Group </w:t>
      </w:r>
      <w:r w:rsidR="00EC43CD" w:rsidRPr="00603DBB">
        <w:t>Chairs’ Updates.</w:t>
      </w:r>
    </w:p>
    <w:p w:rsidR="00C47DF8" w:rsidRPr="00C47DF8" w:rsidRDefault="00C47DF8" w:rsidP="00E04800">
      <w:pPr>
        <w:pStyle w:val="ListParagraph"/>
        <w:spacing w:line="259" w:lineRule="auto"/>
        <w:ind w:left="0"/>
        <w:rPr>
          <w:rFonts w:cs="Arial"/>
          <w:b/>
        </w:rPr>
      </w:pPr>
    </w:p>
    <w:p w:rsidR="00E63EF1" w:rsidRDefault="00C47DF8" w:rsidP="00E04800">
      <w:pPr>
        <w:ind w:left="720" w:hanging="720"/>
      </w:pPr>
      <w:r>
        <w:t>7.1</w:t>
      </w:r>
      <w:r w:rsidR="00704CDA">
        <w:tab/>
      </w:r>
      <w:r w:rsidR="00704CDA" w:rsidRPr="00452609">
        <w:t>Minutes</w:t>
      </w:r>
      <w:r w:rsidR="00EC43CD" w:rsidRPr="00452609">
        <w:t xml:space="preserve"> of recent Committee meetings </w:t>
      </w:r>
      <w:r>
        <w:t>had been</w:t>
      </w:r>
      <w:r w:rsidR="00EC43CD" w:rsidRPr="00452609">
        <w:t xml:space="preserve"> cir</w:t>
      </w:r>
      <w:r w:rsidR="00C70447">
        <w:t>culated to Board members upon clearance by Chairs</w:t>
      </w:r>
      <w:r w:rsidR="00843054">
        <w:t>.</w:t>
      </w:r>
      <w:r w:rsidR="00C70447">
        <w:t xml:space="preserve"> </w:t>
      </w:r>
    </w:p>
    <w:p w:rsidR="005B7A6D" w:rsidRDefault="005B7A6D" w:rsidP="00036F32">
      <w:pPr>
        <w:rPr>
          <w:i/>
        </w:rPr>
      </w:pPr>
    </w:p>
    <w:p w:rsidR="005B7A6D" w:rsidRPr="00E04800" w:rsidRDefault="005B7A6D" w:rsidP="00036F32">
      <w:pPr>
        <w:pStyle w:val="Heading2"/>
        <w:rPr>
          <w:b w:val="0"/>
        </w:rPr>
      </w:pPr>
      <w:r w:rsidRPr="00E04800">
        <w:rPr>
          <w:b w:val="0"/>
        </w:rPr>
        <w:t>Scotland and Wales Committees</w:t>
      </w:r>
    </w:p>
    <w:p w:rsidR="005B7A6D" w:rsidRDefault="005B7A6D" w:rsidP="00036F32"/>
    <w:p w:rsidR="005B7A6D" w:rsidRDefault="005B7A6D" w:rsidP="00E04800">
      <w:pPr>
        <w:ind w:left="720" w:hanging="720"/>
      </w:pPr>
      <w:r>
        <w:t>7.2</w:t>
      </w:r>
      <w:r>
        <w:tab/>
        <w:t xml:space="preserve">Lesley Sawers and June Milligan reported that </w:t>
      </w:r>
      <w:r w:rsidR="00F44408">
        <w:t>Scotland</w:t>
      </w:r>
      <w:r>
        <w:t xml:space="preserve"> and Wales Committee were pleased with improvements in the responsiveness and effectiveness of Board-committee information flow, for instance in </w:t>
      </w:r>
      <w:r w:rsidR="001117C5">
        <w:t xml:space="preserve">relation to </w:t>
      </w:r>
      <w:r>
        <w:t xml:space="preserve">WEC and </w:t>
      </w:r>
      <w:r w:rsidR="001117C5">
        <w:t xml:space="preserve">to </w:t>
      </w:r>
      <w:r>
        <w:t>T</w:t>
      </w:r>
      <w:r w:rsidR="007A1DF8">
        <w:t>reaty monitoring.</w:t>
      </w:r>
      <w:r>
        <w:t xml:space="preserve"> </w:t>
      </w:r>
    </w:p>
    <w:p w:rsidR="00E63EF1" w:rsidRDefault="00E63EF1" w:rsidP="00036F32"/>
    <w:p w:rsidR="005C06C5" w:rsidRDefault="005C06C5" w:rsidP="00036F32">
      <w:pPr>
        <w:pStyle w:val="Heading2"/>
        <w:rPr>
          <w:b w:val="0"/>
        </w:rPr>
      </w:pPr>
      <w:r w:rsidRPr="00E04800">
        <w:rPr>
          <w:b w:val="0"/>
        </w:rPr>
        <w:t>Disability Advisory Committee</w:t>
      </w:r>
    </w:p>
    <w:p w:rsidR="00E04800" w:rsidRPr="00E04800" w:rsidRDefault="00E04800" w:rsidP="00E04800"/>
    <w:p w:rsidR="005C06C5" w:rsidRDefault="001117C5" w:rsidP="00E04800">
      <w:pPr>
        <w:ind w:left="720" w:hanging="720"/>
      </w:pPr>
      <w:r>
        <w:t>7.3</w:t>
      </w:r>
      <w:r w:rsidR="00F80A5B">
        <w:tab/>
        <w:t xml:space="preserve">Rachel Perkins </w:t>
      </w:r>
      <w:r w:rsidR="005C06C5">
        <w:t>pres</w:t>
      </w:r>
      <w:r w:rsidR="005B7A6D">
        <w:t>en</w:t>
      </w:r>
      <w:r w:rsidR="005C06C5">
        <w:t>t</w:t>
      </w:r>
      <w:r w:rsidR="005B7A6D">
        <w:t>e</w:t>
      </w:r>
      <w:r w:rsidR="005C06C5">
        <w:t>d the</w:t>
      </w:r>
      <w:r w:rsidR="00F80A5B">
        <w:t xml:space="preserve"> Disability Advisory Committee Chair’s </w:t>
      </w:r>
      <w:r w:rsidR="005C06C5">
        <w:t xml:space="preserve">annual </w:t>
      </w:r>
      <w:r w:rsidR="00F80A5B">
        <w:t>report (</w:t>
      </w:r>
      <w:r w:rsidR="00F80A5B" w:rsidRPr="007A1DF8">
        <w:rPr>
          <w:u w:val="single"/>
        </w:rPr>
        <w:t xml:space="preserve">EHRC </w:t>
      </w:r>
      <w:r w:rsidR="000047A5" w:rsidRPr="007A1DF8">
        <w:rPr>
          <w:u w:val="single"/>
        </w:rPr>
        <w:t>83.06</w:t>
      </w:r>
      <w:r w:rsidR="00F80A5B" w:rsidRPr="00F80A5B">
        <w:t>)</w:t>
      </w:r>
      <w:r w:rsidR="00F80A5B">
        <w:t xml:space="preserve">. </w:t>
      </w:r>
      <w:r w:rsidR="005C06C5">
        <w:t>She reported that a</w:t>
      </w:r>
      <w:r w:rsidR="00F80A5B">
        <w:t xml:space="preserve">fter a challenging transition period from its statutory predecessor, the new Committee had developed effective ways of working that utilised the expertise, knowledge and networks of its </w:t>
      </w:r>
      <w:r w:rsidR="007A1DF8">
        <w:t>wide</w:t>
      </w:r>
      <w:r w:rsidR="00F80A5B">
        <w:t xml:space="preserve"> membership.</w:t>
      </w:r>
      <w:r w:rsidR="00EA2842">
        <w:t xml:space="preserve"> The diverse members of the Committee were </w:t>
      </w:r>
      <w:r w:rsidR="00F44408">
        <w:t>working</w:t>
      </w:r>
      <w:r w:rsidR="00EA2842">
        <w:t xml:space="preserve"> well together and </w:t>
      </w:r>
      <w:r w:rsidR="00F44408">
        <w:t>appraisals</w:t>
      </w:r>
      <w:r w:rsidR="00EA2842">
        <w:t xml:space="preserve"> had been completed. </w:t>
      </w:r>
      <w:r w:rsidR="00F80A5B">
        <w:t xml:space="preserve"> Constructive working</w:t>
      </w:r>
      <w:r w:rsidR="005C06C5">
        <w:t xml:space="preserve"> </w:t>
      </w:r>
      <w:r w:rsidR="00F80A5B">
        <w:t>relationships had been developed and sustained with officers supporting the Committee and across the Commission, and the Committee had had a</w:t>
      </w:r>
      <w:r w:rsidR="00F80A5B" w:rsidRPr="00F80A5B">
        <w:t xml:space="preserve"> significant</w:t>
      </w:r>
      <w:r w:rsidR="00F80A5B">
        <w:t xml:space="preserve"> and strategic</w:t>
      </w:r>
      <w:r w:rsidR="00F80A5B" w:rsidRPr="00F80A5B">
        <w:t xml:space="preserve"> input to, and impact upon, a number </w:t>
      </w:r>
      <w:r w:rsidR="005C06C5">
        <w:t>of deliverables.</w:t>
      </w:r>
    </w:p>
    <w:p w:rsidR="005C06C5" w:rsidRDefault="005C06C5" w:rsidP="00E04800">
      <w:pPr>
        <w:ind w:left="720" w:hanging="720"/>
      </w:pPr>
    </w:p>
    <w:p w:rsidR="005C06C5" w:rsidRDefault="001117C5" w:rsidP="00E04800">
      <w:pPr>
        <w:ind w:left="720" w:hanging="720"/>
      </w:pPr>
      <w:r>
        <w:t>7.4</w:t>
      </w:r>
      <w:r w:rsidR="005C06C5">
        <w:tab/>
        <w:t>Board members noted DACs contribution to work on</w:t>
      </w:r>
      <w:r w:rsidR="00E04800">
        <w:t>:</w:t>
      </w:r>
      <w:r w:rsidR="005C06C5">
        <w:t xml:space="preserve"> </w:t>
      </w:r>
    </w:p>
    <w:p w:rsidR="00F80A5B" w:rsidRPr="00F80A5B" w:rsidRDefault="00F80A5B" w:rsidP="00E04800">
      <w:pPr>
        <w:ind w:left="720" w:hanging="720"/>
        <w:rPr>
          <w:sz w:val="16"/>
          <w:szCs w:val="16"/>
        </w:rPr>
      </w:pPr>
    </w:p>
    <w:p w:rsidR="00F80A5B" w:rsidRPr="00F80A5B" w:rsidRDefault="00E04800" w:rsidP="00E04800">
      <w:pPr>
        <w:ind w:left="1440" w:hanging="720"/>
        <w:rPr>
          <w:lang w:val="en-US"/>
        </w:rPr>
      </w:pPr>
      <w:r>
        <w:rPr>
          <w:lang w:val="en-US"/>
        </w:rPr>
        <w:t>a)</w:t>
      </w:r>
      <w:r>
        <w:rPr>
          <w:lang w:val="en-US"/>
        </w:rPr>
        <w:tab/>
        <w:t>e</w:t>
      </w:r>
      <w:r w:rsidR="00F80A5B" w:rsidRPr="00F80A5B">
        <w:rPr>
          <w:lang w:val="en-US"/>
        </w:rPr>
        <w:t>mployment of disabled</w:t>
      </w:r>
      <w:r>
        <w:rPr>
          <w:lang w:val="en-US"/>
        </w:rPr>
        <w:t xml:space="preserve"> people and disability pay gaps;</w:t>
      </w:r>
    </w:p>
    <w:p w:rsidR="00F80A5B" w:rsidRPr="00F80A5B" w:rsidRDefault="00E04800" w:rsidP="00E04800">
      <w:pPr>
        <w:ind w:left="1440" w:hanging="720"/>
      </w:pPr>
      <w:r>
        <w:t>b)</w:t>
      </w:r>
      <w:r>
        <w:tab/>
        <w:t>independent living;</w:t>
      </w:r>
    </w:p>
    <w:p w:rsidR="00F80A5B" w:rsidRPr="00F80A5B" w:rsidRDefault="00E04800" w:rsidP="00E04800">
      <w:pPr>
        <w:ind w:left="1440" w:hanging="720"/>
      </w:pPr>
      <w:r>
        <w:t>c)</w:t>
      </w:r>
      <w:r>
        <w:tab/>
        <w:t>t</w:t>
      </w:r>
      <w:r w:rsidR="00F80A5B" w:rsidRPr="00F80A5B">
        <w:t>reaty monitoring, especially the UN Convention on the Rights of Persons with Disabilities</w:t>
      </w:r>
      <w:r>
        <w:t>;</w:t>
      </w:r>
    </w:p>
    <w:p w:rsidR="00491EAE" w:rsidRDefault="00E04800" w:rsidP="00E04800">
      <w:pPr>
        <w:ind w:left="1440" w:hanging="720"/>
      </w:pPr>
      <w:r>
        <w:t>d)</w:t>
      </w:r>
      <w:r>
        <w:tab/>
        <w:t>t</w:t>
      </w:r>
      <w:r w:rsidR="00F80A5B" w:rsidRPr="00F80A5B">
        <w:t>he EHRC response to the Independent Revie</w:t>
      </w:r>
      <w:r>
        <w:t>w of the 1983 Mental Health Act;</w:t>
      </w:r>
    </w:p>
    <w:p w:rsidR="00F80A5B" w:rsidRPr="00491EAE" w:rsidRDefault="00E04800" w:rsidP="00E04800">
      <w:pPr>
        <w:ind w:left="1440" w:hanging="720"/>
      </w:pPr>
      <w:r>
        <w:t>e)</w:t>
      </w:r>
      <w:r>
        <w:tab/>
        <w:t>w</w:t>
      </w:r>
      <w:r w:rsidR="005C06C5" w:rsidRPr="00491EAE">
        <w:t xml:space="preserve">ork on </w:t>
      </w:r>
      <w:r w:rsidR="00F80A5B" w:rsidRPr="00491EAE">
        <w:t>Institutionalisation and restraint</w:t>
      </w:r>
      <w:r>
        <w:t>.</w:t>
      </w:r>
    </w:p>
    <w:p w:rsidR="005B7A6D" w:rsidRPr="005B7A6D" w:rsidRDefault="005B7A6D" w:rsidP="00E04800">
      <w:pPr>
        <w:ind w:left="1440" w:hanging="720"/>
        <w:rPr>
          <w:sz w:val="16"/>
          <w:szCs w:val="16"/>
        </w:rPr>
      </w:pPr>
    </w:p>
    <w:p w:rsidR="00F80A5B" w:rsidRPr="00F80A5B" w:rsidRDefault="001117C5" w:rsidP="00E04800">
      <w:pPr>
        <w:ind w:left="720" w:hanging="720"/>
      </w:pPr>
      <w:r>
        <w:t>7.5</w:t>
      </w:r>
      <w:r w:rsidR="005C06C5">
        <w:tab/>
        <w:t xml:space="preserve">Board members noted the positive feedback from officers to whom individual </w:t>
      </w:r>
      <w:r w:rsidR="00F80A5B" w:rsidRPr="00F80A5B">
        <w:t>DAC members</w:t>
      </w:r>
      <w:r w:rsidR="005C06C5">
        <w:t xml:space="preserve"> had provided support on a</w:t>
      </w:r>
      <w:r w:rsidR="00491EAE">
        <w:t xml:space="preserve"> </w:t>
      </w:r>
      <w:r w:rsidR="005C06C5">
        <w:t xml:space="preserve">range of issues relating to </w:t>
      </w:r>
      <w:r w:rsidR="00491EAE">
        <w:t>d</w:t>
      </w:r>
      <w:r w:rsidR="00F80A5B" w:rsidRPr="00F80A5B">
        <w:t>isabled people including:</w:t>
      </w:r>
    </w:p>
    <w:p w:rsidR="00F80A5B" w:rsidRPr="00F80A5B" w:rsidRDefault="00F80A5B" w:rsidP="00E04800">
      <w:pPr>
        <w:ind w:left="720" w:hanging="720"/>
        <w:rPr>
          <w:sz w:val="16"/>
          <w:szCs w:val="16"/>
        </w:rPr>
      </w:pPr>
    </w:p>
    <w:p w:rsidR="00F80A5B" w:rsidRPr="00F80A5B" w:rsidRDefault="00E04800" w:rsidP="00E04800">
      <w:pPr>
        <w:ind w:left="1440" w:hanging="720"/>
      </w:pPr>
      <w:r>
        <w:t>a)</w:t>
      </w:r>
      <w:r>
        <w:tab/>
      </w:r>
      <w:r w:rsidR="003918ED">
        <w:t>t</w:t>
      </w:r>
      <w:r>
        <w:t xml:space="preserve">he Commission’s </w:t>
      </w:r>
      <w:r w:rsidR="00F80A5B" w:rsidRPr="00F80A5B">
        <w:t>Housing Inquiry</w:t>
      </w:r>
      <w:r>
        <w:t>;</w:t>
      </w:r>
    </w:p>
    <w:p w:rsidR="00F80A5B" w:rsidRPr="00F80A5B" w:rsidRDefault="00E04800" w:rsidP="00E04800">
      <w:pPr>
        <w:ind w:left="1440" w:hanging="720"/>
      </w:pPr>
      <w:r>
        <w:t>b)</w:t>
      </w:r>
      <w:r>
        <w:tab/>
        <w:t>its Reasonable Adjustments p</w:t>
      </w:r>
      <w:r w:rsidR="00F80A5B" w:rsidRPr="00F80A5B">
        <w:t>roject</w:t>
      </w:r>
      <w:r>
        <w:t>;</w:t>
      </w:r>
    </w:p>
    <w:p w:rsidR="00F80A5B" w:rsidRPr="00F80A5B" w:rsidRDefault="00E04800" w:rsidP="00E04800">
      <w:pPr>
        <w:ind w:left="1440" w:hanging="720"/>
      </w:pPr>
      <w:r>
        <w:t>c)</w:t>
      </w:r>
      <w:r>
        <w:tab/>
      </w:r>
      <w:r w:rsidR="003918ED">
        <w:t xml:space="preserve">the </w:t>
      </w:r>
      <w:r w:rsidR="00F80A5B" w:rsidRPr="00F80A5B">
        <w:t>Mental Capacity Act Amendment Bill</w:t>
      </w:r>
    </w:p>
    <w:p w:rsidR="00F80A5B" w:rsidRPr="00F80A5B" w:rsidRDefault="00E04800" w:rsidP="00E04800">
      <w:pPr>
        <w:ind w:left="1440" w:hanging="720"/>
      </w:pPr>
      <w:r>
        <w:t>d)</w:t>
      </w:r>
      <w:r>
        <w:tab/>
        <w:t>d</w:t>
      </w:r>
      <w:r w:rsidR="00F80A5B" w:rsidRPr="00F80A5B">
        <w:t>isability-focused litigation</w:t>
      </w:r>
      <w:r>
        <w:t>;</w:t>
      </w:r>
    </w:p>
    <w:p w:rsidR="00F80A5B" w:rsidRPr="00F80A5B" w:rsidRDefault="00E04800" w:rsidP="00E04800">
      <w:pPr>
        <w:ind w:left="1440" w:hanging="720"/>
      </w:pPr>
      <w:r>
        <w:t>e)</w:t>
      </w:r>
      <w:r>
        <w:tab/>
        <w:t>a</w:t>
      </w:r>
      <w:r w:rsidR="00F80A5B" w:rsidRPr="00F80A5B">
        <w:t>ccessible stadia</w:t>
      </w:r>
      <w:r>
        <w:t>;</w:t>
      </w:r>
    </w:p>
    <w:p w:rsidR="00F80A5B" w:rsidRPr="00F80A5B" w:rsidRDefault="00E04800" w:rsidP="00E04800">
      <w:pPr>
        <w:ind w:left="1440" w:hanging="720"/>
      </w:pPr>
      <w:r>
        <w:t>f)</w:t>
      </w:r>
      <w:r>
        <w:tab/>
        <w:t>a</w:t>
      </w:r>
      <w:r w:rsidR="00F80A5B" w:rsidRPr="00F80A5B">
        <w:t>ccess to elected office</w:t>
      </w:r>
      <w:r>
        <w:t>;</w:t>
      </w:r>
    </w:p>
    <w:p w:rsidR="00F80A5B" w:rsidRPr="00F80A5B" w:rsidRDefault="00E04800" w:rsidP="00E04800">
      <w:pPr>
        <w:ind w:left="1440" w:hanging="720"/>
      </w:pPr>
      <w:r>
        <w:t>g)</w:t>
      </w:r>
      <w:r>
        <w:tab/>
        <w:t>i</w:t>
      </w:r>
      <w:r w:rsidR="00F80A5B" w:rsidRPr="00F80A5B">
        <w:t>nclusive education and school exclusions</w:t>
      </w:r>
      <w:r>
        <w:t>;</w:t>
      </w:r>
    </w:p>
    <w:p w:rsidR="00F80A5B" w:rsidRPr="00F80A5B" w:rsidRDefault="00E04800" w:rsidP="00E04800">
      <w:pPr>
        <w:ind w:left="1440" w:hanging="720"/>
      </w:pPr>
      <w:r>
        <w:t>h)</w:t>
      </w:r>
      <w:r>
        <w:tab/>
        <w:t>a</w:t>
      </w:r>
      <w:r w:rsidR="00F80A5B" w:rsidRPr="00F80A5B">
        <w:t>ssisted dying</w:t>
      </w:r>
      <w:r>
        <w:t>;</w:t>
      </w:r>
    </w:p>
    <w:p w:rsidR="00F80A5B" w:rsidRPr="00F80A5B" w:rsidRDefault="00E04800" w:rsidP="00E04800">
      <w:pPr>
        <w:ind w:left="1440" w:hanging="720"/>
      </w:pPr>
      <w:r>
        <w:t>i)</w:t>
      </w:r>
      <w:r>
        <w:tab/>
      </w:r>
      <w:r w:rsidR="00F80A5B" w:rsidRPr="00F80A5B">
        <w:t>Public Sector Equality Duty</w:t>
      </w:r>
    </w:p>
    <w:p w:rsidR="00F80A5B" w:rsidRPr="00F80A5B" w:rsidRDefault="00E04800" w:rsidP="00E04800">
      <w:pPr>
        <w:ind w:left="1440" w:hanging="720"/>
      </w:pPr>
      <w:r>
        <w:t>j)</w:t>
      </w:r>
      <w:r>
        <w:tab/>
      </w:r>
      <w:r w:rsidR="00F80A5B" w:rsidRPr="00F80A5B">
        <w:t>Is Britain Fairer?</w:t>
      </w:r>
    </w:p>
    <w:p w:rsidR="00F80A5B" w:rsidRPr="00F80A5B" w:rsidRDefault="00E04800" w:rsidP="00E04800">
      <w:pPr>
        <w:ind w:left="1440" w:hanging="720"/>
      </w:pPr>
      <w:r>
        <w:t>k)</w:t>
      </w:r>
      <w:r>
        <w:tab/>
      </w:r>
      <w:r w:rsidR="00F80A5B" w:rsidRPr="00F80A5B">
        <w:t>framing and language used in in EHRC publications</w:t>
      </w:r>
    </w:p>
    <w:p w:rsidR="00F80A5B" w:rsidRPr="00F80A5B" w:rsidRDefault="00F80A5B" w:rsidP="00E04800">
      <w:pPr>
        <w:ind w:left="720" w:hanging="720"/>
        <w:rPr>
          <w:sz w:val="16"/>
          <w:szCs w:val="16"/>
        </w:rPr>
      </w:pPr>
    </w:p>
    <w:p w:rsidR="005B7A6D" w:rsidRDefault="001117C5" w:rsidP="00E04800">
      <w:pPr>
        <w:ind w:left="720" w:hanging="720"/>
      </w:pPr>
      <w:r>
        <w:t>7.6</w:t>
      </w:r>
      <w:r w:rsidR="005B7A6D">
        <w:tab/>
      </w:r>
      <w:r w:rsidR="00EA2842">
        <w:t>The Board was pleased with the Committee</w:t>
      </w:r>
      <w:r w:rsidR="00E04800">
        <w:t>’</w:t>
      </w:r>
      <w:r w:rsidR="00EA2842">
        <w:t xml:space="preserve">s contribution to the work of the Commission, and endorsed Rachel Perkins’ leadership. David Isaac expressed </w:t>
      </w:r>
      <w:r w:rsidR="005B7A6D">
        <w:t>the Board</w:t>
      </w:r>
      <w:r>
        <w:t>’</w:t>
      </w:r>
      <w:r w:rsidR="005B7A6D">
        <w:t>s thanks to Committee members for their efforts over the past year.</w:t>
      </w:r>
    </w:p>
    <w:p w:rsidR="000047A5" w:rsidRDefault="000047A5" w:rsidP="00E04800">
      <w:pPr>
        <w:pStyle w:val="ListParagraph"/>
        <w:ind w:hanging="720"/>
        <w:contextualSpacing w:val="0"/>
        <w:rPr>
          <w:rFonts w:cs="Arial"/>
          <w:i/>
        </w:rPr>
      </w:pPr>
    </w:p>
    <w:p w:rsidR="000047A5" w:rsidRPr="00130385" w:rsidRDefault="000047A5" w:rsidP="003918ED">
      <w:pPr>
        <w:pStyle w:val="Heading2"/>
        <w:keepNext w:val="0"/>
        <w:keepLines w:val="0"/>
        <w:rPr>
          <w:b w:val="0"/>
        </w:rPr>
      </w:pPr>
      <w:r w:rsidRPr="00130385">
        <w:rPr>
          <w:b w:val="0"/>
        </w:rPr>
        <w:t>Commissioner Working Group on Treaty Monitoring</w:t>
      </w:r>
    </w:p>
    <w:p w:rsidR="000047A5" w:rsidRDefault="000047A5" w:rsidP="00E04800">
      <w:pPr>
        <w:ind w:left="720" w:hanging="720"/>
      </w:pPr>
    </w:p>
    <w:p w:rsidR="000047A5" w:rsidRDefault="001117C5" w:rsidP="00E04800">
      <w:pPr>
        <w:ind w:left="720" w:hanging="720"/>
      </w:pPr>
      <w:r>
        <w:rPr>
          <w:rFonts w:eastAsia="Times New Roman"/>
          <w:bCs/>
        </w:rPr>
        <w:t>7.7</w:t>
      </w:r>
      <w:r w:rsidR="000047A5">
        <w:rPr>
          <w:rFonts w:eastAsia="Times New Roman"/>
          <w:bCs/>
        </w:rPr>
        <w:tab/>
      </w:r>
      <w:r w:rsidR="000047A5" w:rsidRPr="001E3467">
        <w:rPr>
          <w:rFonts w:eastAsia="Times New Roman"/>
          <w:bCs/>
        </w:rPr>
        <w:t>June Milligan reported the Group’s</w:t>
      </w:r>
      <w:r w:rsidR="000047A5" w:rsidRPr="0002178B">
        <w:t xml:space="preserve"> main achievements </w:t>
      </w:r>
      <w:r w:rsidR="000047A5" w:rsidRPr="001E3467">
        <w:t>in 2018-19</w:t>
      </w:r>
      <w:r w:rsidR="000047A5">
        <w:t xml:space="preserve"> (paper </w:t>
      </w:r>
      <w:r w:rsidR="000047A5" w:rsidRPr="000047A5">
        <w:rPr>
          <w:u w:val="single"/>
        </w:rPr>
        <w:t>EHRC 83.07</w:t>
      </w:r>
      <w:r w:rsidR="000047A5">
        <w:t xml:space="preserve"> refers)</w:t>
      </w:r>
      <w:r w:rsidR="000047A5" w:rsidRPr="001E3467">
        <w:t xml:space="preserve">. </w:t>
      </w:r>
      <w:r w:rsidR="000047A5">
        <w:t>These included:</w:t>
      </w:r>
    </w:p>
    <w:p w:rsidR="00E04800" w:rsidRDefault="00E04800" w:rsidP="00E04800">
      <w:pPr>
        <w:ind w:left="1440" w:hanging="720"/>
      </w:pPr>
    </w:p>
    <w:p w:rsidR="000047A5" w:rsidRDefault="00E04800" w:rsidP="00E04800">
      <w:pPr>
        <w:ind w:left="1440" w:hanging="720"/>
      </w:pPr>
      <w:r>
        <w:t>a)</w:t>
      </w:r>
      <w:r>
        <w:tab/>
      </w:r>
      <w:r w:rsidR="000047A5">
        <w:t xml:space="preserve">the Commission’s </w:t>
      </w:r>
      <w:r w:rsidR="000047A5" w:rsidRPr="001E3467">
        <w:t xml:space="preserve">treaty monitoring recommendations and priorities </w:t>
      </w:r>
      <w:r w:rsidR="000047A5">
        <w:t xml:space="preserve">being </w:t>
      </w:r>
      <w:r w:rsidR="000047A5" w:rsidRPr="001E3467">
        <w:t>cited or supported by governments, Parliamentarians and civil society in terms of: Women</w:t>
      </w:r>
      <w:r w:rsidR="00491EAE">
        <w:t>’</w:t>
      </w:r>
      <w:r w:rsidR="000047A5" w:rsidRPr="001E3467">
        <w:t>s rights, Disability rights, Children</w:t>
      </w:r>
      <w:r w:rsidR="00491EAE">
        <w:t>’</w:t>
      </w:r>
      <w:r w:rsidR="000047A5" w:rsidRPr="001E3467">
        <w:t>s rights, race equality and i</w:t>
      </w:r>
      <w:r w:rsidR="007A1DF8">
        <w:t>ncorporation and accountability;</w:t>
      </w:r>
    </w:p>
    <w:p w:rsidR="00C80F3D" w:rsidRPr="001E3467" w:rsidRDefault="00C80F3D" w:rsidP="00E04800">
      <w:pPr>
        <w:ind w:left="1440" w:hanging="720"/>
      </w:pPr>
    </w:p>
    <w:p w:rsidR="000047A5" w:rsidRDefault="00E04800" w:rsidP="00E04800">
      <w:pPr>
        <w:ind w:left="1440" w:hanging="720"/>
      </w:pPr>
      <w:r>
        <w:t>b)</w:t>
      </w:r>
      <w:r>
        <w:tab/>
      </w:r>
      <w:r w:rsidR="000047A5" w:rsidRPr="001E3467">
        <w:t>treat</w:t>
      </w:r>
      <w:r w:rsidR="000047A5">
        <w:t>y monitoring recommendations being</w:t>
      </w:r>
      <w:r w:rsidR="000047A5" w:rsidRPr="001E3467">
        <w:t xml:space="preserve"> adopted by the UN, with  82% of the issues covered in EHRC’s reports, and all of its priority recommendations, being reflected in the CEDAW Committee’s conclud</w:t>
      </w:r>
      <w:r w:rsidR="007A1DF8">
        <w:t>ing observations, of March 2019;</w:t>
      </w:r>
      <w:r w:rsidR="000047A5" w:rsidRPr="001E3467">
        <w:t xml:space="preserve"> </w:t>
      </w:r>
    </w:p>
    <w:p w:rsidR="00C80F3D" w:rsidRPr="0002178B" w:rsidRDefault="00C80F3D" w:rsidP="00E04800">
      <w:pPr>
        <w:ind w:left="1440" w:hanging="720"/>
      </w:pPr>
    </w:p>
    <w:p w:rsidR="000047A5" w:rsidRDefault="00E04800" w:rsidP="00E04800">
      <w:pPr>
        <w:ind w:left="1440" w:hanging="720"/>
      </w:pPr>
      <w:r>
        <w:t>c)</w:t>
      </w:r>
      <w:r>
        <w:tab/>
      </w:r>
      <w:r w:rsidR="000047A5" w:rsidRPr="001E3467">
        <w:t>EHRC and others increasingly using the international human rights framework in their influencing work.</w:t>
      </w:r>
    </w:p>
    <w:p w:rsidR="00E04800" w:rsidRPr="001E3467" w:rsidRDefault="00E04800" w:rsidP="00E04800">
      <w:pPr>
        <w:ind w:left="1440" w:hanging="720"/>
      </w:pPr>
    </w:p>
    <w:p w:rsidR="000047A5" w:rsidRDefault="001117C5" w:rsidP="00E04800">
      <w:pPr>
        <w:ind w:left="720" w:hanging="720"/>
      </w:pPr>
      <w:r>
        <w:t>7.8</w:t>
      </w:r>
      <w:r w:rsidR="000047A5">
        <w:tab/>
        <w:t>The Board welcomed these achievements and thanked CWG members and officers for their efforts</w:t>
      </w:r>
      <w:r w:rsidR="000047A5" w:rsidRPr="0002178B">
        <w:t xml:space="preserve">. </w:t>
      </w:r>
    </w:p>
    <w:p w:rsidR="004C7BDA" w:rsidRPr="0002178B" w:rsidRDefault="004C7BDA" w:rsidP="00E04800">
      <w:pPr>
        <w:ind w:left="720" w:hanging="720"/>
      </w:pPr>
    </w:p>
    <w:p w:rsidR="005B7A6D" w:rsidRPr="005B7A6D" w:rsidRDefault="005B7A6D" w:rsidP="00E04800">
      <w:pPr>
        <w:pStyle w:val="Heading2"/>
        <w:keepNext w:val="0"/>
        <w:keepLines w:val="0"/>
        <w:ind w:left="720" w:hanging="720"/>
      </w:pPr>
      <w:r w:rsidRPr="005B7A6D">
        <w:t>Human Resources and Remuneration Committee</w:t>
      </w:r>
    </w:p>
    <w:p w:rsidR="005B7A6D" w:rsidRDefault="005B7A6D" w:rsidP="00E04800">
      <w:pPr>
        <w:ind w:left="720" w:hanging="720"/>
      </w:pPr>
    </w:p>
    <w:p w:rsidR="006572D4" w:rsidRDefault="001117C5" w:rsidP="00E04800">
      <w:pPr>
        <w:ind w:left="720" w:hanging="720"/>
      </w:pPr>
      <w:r>
        <w:t>7.9</w:t>
      </w:r>
      <w:r w:rsidR="005375E3">
        <w:tab/>
      </w:r>
      <w:r w:rsidR="00E63EF1">
        <w:t xml:space="preserve">The </w:t>
      </w:r>
      <w:r w:rsidR="005375E3">
        <w:t>Board re</w:t>
      </w:r>
      <w:r w:rsidR="00E63EF1">
        <w:t>viewed</w:t>
      </w:r>
      <w:r w:rsidR="000047A5">
        <w:t xml:space="preserve"> the People Dashboard (</w:t>
      </w:r>
      <w:r w:rsidR="000047A5" w:rsidRPr="000047A5">
        <w:rPr>
          <w:u w:val="single"/>
        </w:rPr>
        <w:t>EHRC 83.08</w:t>
      </w:r>
      <w:r w:rsidR="005375E3">
        <w:t>) a</w:t>
      </w:r>
      <w:r w:rsidR="000047A5">
        <w:t>nd Staff survey results (</w:t>
      </w:r>
      <w:r w:rsidR="000047A5" w:rsidRPr="000047A5">
        <w:rPr>
          <w:u w:val="single"/>
        </w:rPr>
        <w:t>EHRC 83.09</w:t>
      </w:r>
      <w:r w:rsidR="005375E3">
        <w:t xml:space="preserve">) presented as the Human Resources and Remuneration Committee Chair’s report. The Board </w:t>
      </w:r>
      <w:r w:rsidR="00F569DB">
        <w:t xml:space="preserve">felt that both documents presented useful management information clearly. It </w:t>
      </w:r>
      <w:r w:rsidR="005375E3">
        <w:t>noted that the Committee had felt that these were, on balance</w:t>
      </w:r>
      <w:r w:rsidR="003918ED">
        <w:t>, positive</w:t>
      </w:r>
      <w:r w:rsidR="005375E3">
        <w:t xml:space="preserve"> especially in terms of the overall staff engagement index agai</w:t>
      </w:r>
      <w:r w:rsidR="00491EAE">
        <w:t>n</w:t>
      </w:r>
      <w:r w:rsidR="005375E3">
        <w:t xml:space="preserve">st the civil service benchmark, and had endorsed the Commission’s proposed approach to addressing areas of concern. </w:t>
      </w:r>
    </w:p>
    <w:p w:rsidR="006572D4" w:rsidRDefault="006572D4" w:rsidP="00E04800">
      <w:pPr>
        <w:ind w:left="720" w:hanging="720"/>
      </w:pPr>
    </w:p>
    <w:p w:rsidR="00F569DB" w:rsidRDefault="001117C5" w:rsidP="00E04800">
      <w:pPr>
        <w:ind w:left="720" w:hanging="720"/>
      </w:pPr>
      <w:r>
        <w:t>7.10</w:t>
      </w:r>
      <w:r w:rsidR="000047A5">
        <w:tab/>
        <w:t>The B</w:t>
      </w:r>
      <w:r w:rsidR="00FF77EC">
        <w:t>oard ref</w:t>
      </w:r>
      <w:r w:rsidR="006572D4">
        <w:t>l</w:t>
      </w:r>
      <w:r w:rsidR="00FF77EC">
        <w:t>e</w:t>
      </w:r>
      <w:r w:rsidR="006572D4">
        <w:t xml:space="preserve">cted on the </w:t>
      </w:r>
      <w:r w:rsidR="000047A5">
        <w:t>statistics presented and asked HRRC to maintain an over</w:t>
      </w:r>
      <w:r w:rsidR="00491EAE">
        <w:t>view</w:t>
      </w:r>
      <w:r w:rsidR="000047A5">
        <w:t xml:space="preserve"> of work developing leadership skills and addressing </w:t>
      </w:r>
      <w:r w:rsidR="006572D4">
        <w:t>sickness absence levels</w:t>
      </w:r>
      <w:r w:rsidR="000047A5">
        <w:t xml:space="preserve">. For </w:t>
      </w:r>
      <w:r w:rsidR="00F569DB">
        <w:t>future HRRC discussion Board members suggested</w:t>
      </w:r>
      <w:r w:rsidR="006572D4">
        <w:t>.</w:t>
      </w:r>
    </w:p>
    <w:p w:rsidR="006572D4" w:rsidRDefault="006572D4" w:rsidP="00E04800">
      <w:pPr>
        <w:ind w:left="720" w:hanging="720"/>
      </w:pPr>
    </w:p>
    <w:p w:rsidR="005375E3" w:rsidRPr="00452609" w:rsidRDefault="00E63EF1" w:rsidP="00C80F3D">
      <w:pPr>
        <w:ind w:left="1440" w:hanging="720"/>
      </w:pPr>
      <w:r>
        <w:t>a)</w:t>
      </w:r>
      <w:r>
        <w:tab/>
      </w:r>
      <w:r w:rsidR="000047A5">
        <w:t xml:space="preserve">adopting </w:t>
      </w:r>
      <w:r w:rsidR="00F569DB">
        <w:t xml:space="preserve">Civil Service High Performing Organisations as a more aspirational benchmark. </w:t>
      </w:r>
    </w:p>
    <w:p w:rsidR="00F569DB" w:rsidRDefault="00E63EF1" w:rsidP="00C80F3D">
      <w:pPr>
        <w:ind w:left="1440" w:hanging="720"/>
      </w:pPr>
      <w:r>
        <w:t>b)</w:t>
      </w:r>
      <w:r>
        <w:tab/>
      </w:r>
      <w:r w:rsidR="00F569DB">
        <w:t>Inclus</w:t>
      </w:r>
      <w:r>
        <w:t xml:space="preserve">ion of </w:t>
      </w:r>
      <w:r w:rsidR="00F569DB">
        <w:t>he</w:t>
      </w:r>
      <w:r w:rsidR="00FF77EC">
        <w:t>al</w:t>
      </w:r>
      <w:r w:rsidR="00F569DB">
        <w:t>th and safety and pay gap metrics in the people dashboard</w:t>
      </w:r>
    </w:p>
    <w:p w:rsidR="00E63EF1" w:rsidRDefault="00E63EF1" w:rsidP="00C80F3D">
      <w:pPr>
        <w:ind w:left="1440" w:hanging="720"/>
      </w:pPr>
      <w:r>
        <w:t>c)</w:t>
      </w:r>
      <w:r>
        <w:tab/>
        <w:t>Further probing of the high levels of leave-carry over, and future thinking about self-declaration and management of leave.</w:t>
      </w:r>
    </w:p>
    <w:p w:rsidR="00E63EF1" w:rsidRDefault="00E63EF1" w:rsidP="00E04800">
      <w:pPr>
        <w:ind w:left="720" w:hanging="720"/>
        <w:rPr>
          <w:b/>
        </w:rPr>
      </w:pPr>
    </w:p>
    <w:p w:rsidR="00E63EF1" w:rsidRDefault="00E63EF1" w:rsidP="00C80F3D">
      <w:pPr>
        <w:ind w:left="720"/>
      </w:pPr>
      <w:r w:rsidRPr="00E63EF1">
        <w:rPr>
          <w:b/>
        </w:rPr>
        <w:t>Action: Joe Corcos</w:t>
      </w:r>
      <w:r>
        <w:t xml:space="preserve"> to discuss with Caroline Waters as part of ongoing HRRC agenda</w:t>
      </w:r>
      <w:r w:rsidR="007A1DF8">
        <w:t>.</w:t>
      </w:r>
    </w:p>
    <w:p w:rsidR="0002178B" w:rsidRPr="0002178B" w:rsidRDefault="0002178B" w:rsidP="00E04800">
      <w:pPr>
        <w:ind w:left="720" w:hanging="720"/>
        <w:rPr>
          <w:b/>
          <w:szCs w:val="22"/>
        </w:rPr>
      </w:pPr>
    </w:p>
    <w:p w:rsidR="00F71D86" w:rsidRDefault="00FD1EB8" w:rsidP="00E04800">
      <w:pPr>
        <w:pStyle w:val="Heading1"/>
        <w:keepNext w:val="0"/>
        <w:keepLines w:val="0"/>
      </w:pPr>
      <w:r>
        <w:t>8</w:t>
      </w:r>
      <w:r w:rsidR="00F71D86" w:rsidRPr="00182496">
        <w:t xml:space="preserve">. </w:t>
      </w:r>
      <w:r w:rsidR="00744F95">
        <w:tab/>
      </w:r>
      <w:r w:rsidR="00C47DF8">
        <w:t>Investigation</w:t>
      </w:r>
    </w:p>
    <w:p w:rsidR="00EB0F74" w:rsidRDefault="00EB0F74" w:rsidP="00E04800">
      <w:pPr>
        <w:pStyle w:val="ListParagraph"/>
        <w:ind w:hanging="720"/>
        <w:contextualSpacing w:val="0"/>
      </w:pPr>
      <w:r>
        <w:t> </w:t>
      </w:r>
    </w:p>
    <w:p w:rsidR="00EB0F74" w:rsidRDefault="00EB0F74" w:rsidP="00E04800">
      <w:pPr>
        <w:ind w:left="720" w:hanging="720"/>
      </w:pPr>
      <w:r>
        <w:t>8.1</w:t>
      </w:r>
      <w:r>
        <w:tab/>
        <w:t xml:space="preserve">Alasdair Henderson, the lead Commissioner on this item, introduced paper </w:t>
      </w:r>
      <w:r w:rsidRPr="00EB0F74">
        <w:rPr>
          <w:u w:val="single"/>
        </w:rPr>
        <w:t>EHRC 83.10</w:t>
      </w:r>
      <w:r>
        <w:t xml:space="preserve"> which sought Board approval in relation to a Se</w:t>
      </w:r>
      <w:r w:rsidR="003918ED">
        <w:t>ction 20 investigation against t</w:t>
      </w:r>
      <w:r>
        <w:t>he Labour Party, which is suspected of unlawful acts, in respect of antisemitism, under the Equality Act 2010. Alasdair Henderson provided an update on progress since the last meeting.</w:t>
      </w:r>
    </w:p>
    <w:p w:rsidR="00EB0F74" w:rsidRDefault="00EB0F74" w:rsidP="00E04800">
      <w:pPr>
        <w:ind w:left="720" w:hanging="720"/>
      </w:pPr>
    </w:p>
    <w:p w:rsidR="00EB0F74" w:rsidRDefault="00EB0F74" w:rsidP="00E04800">
      <w:pPr>
        <w:ind w:left="720" w:hanging="720"/>
      </w:pPr>
      <w:r>
        <w:t>8.2</w:t>
      </w:r>
      <w:r>
        <w:tab/>
      </w:r>
      <w:r w:rsidRPr="00EB0F74">
        <w:rPr>
          <w:rFonts w:ascii="Times New Roman" w:hAnsi="Times New Roman"/>
          <w:sz w:val="14"/>
          <w:szCs w:val="14"/>
        </w:rPr>
        <w:t xml:space="preserve"> </w:t>
      </w:r>
      <w:r>
        <w:t>Alastair Pringle and Clare Collier spoke to the paper including the legal threshold for a Section 20 investigation and the factors which must and may be considered by the Board when exercising its discretion.</w:t>
      </w:r>
    </w:p>
    <w:p w:rsidR="00EB0F74" w:rsidRDefault="00EB0F74" w:rsidP="00E04800">
      <w:pPr>
        <w:ind w:left="720" w:hanging="720"/>
      </w:pPr>
    </w:p>
    <w:p w:rsidR="00EB0F74" w:rsidRDefault="00EB0F74" w:rsidP="00E04800">
      <w:pPr>
        <w:ind w:left="720" w:hanging="720"/>
      </w:pPr>
      <w:r>
        <w:t>8.3</w:t>
      </w:r>
      <w:r w:rsidRPr="00EB0F74">
        <w:rPr>
          <w:rFonts w:ascii="Times New Roman" w:hAnsi="Times New Roman"/>
          <w:sz w:val="14"/>
          <w:szCs w:val="14"/>
        </w:rPr>
        <w:t> </w:t>
      </w:r>
      <w:r>
        <w:rPr>
          <w:rFonts w:ascii="Times New Roman" w:hAnsi="Times New Roman"/>
          <w:sz w:val="14"/>
          <w:szCs w:val="14"/>
        </w:rPr>
        <w:tab/>
      </w:r>
      <w:r>
        <w:t>Members reflected on</w:t>
      </w:r>
      <w:r w:rsidR="006C1C1B" w:rsidRPr="006C1C1B">
        <w:t xml:space="preserve"> </w:t>
      </w:r>
      <w:r w:rsidR="006C1C1B" w:rsidRPr="006C1C1B">
        <w:t>the matters raised in 8.1 and 8.2, and</w:t>
      </w:r>
      <w:r w:rsidRPr="006C1C1B">
        <w:t>:</w:t>
      </w:r>
    </w:p>
    <w:p w:rsidR="00EB0F74" w:rsidRDefault="00EB0F74" w:rsidP="00E04800">
      <w:pPr>
        <w:ind w:left="720" w:hanging="720"/>
      </w:pPr>
    </w:p>
    <w:p w:rsidR="00EB0F74" w:rsidRDefault="00C80F3D" w:rsidP="00C80F3D">
      <w:pPr>
        <w:ind w:left="1440" w:hanging="720"/>
      </w:pPr>
      <w:r>
        <w:t>a)</w:t>
      </w:r>
      <w:r>
        <w:tab/>
      </w:r>
      <w:r w:rsidR="00EB0F74">
        <w:t>the need for clear strategic value for enforcement action and taking steps to eliminate and challenge discrimination, harassment and victimisation whatever the context;</w:t>
      </w:r>
    </w:p>
    <w:p w:rsidR="00EB0F74" w:rsidRDefault="00C80F3D" w:rsidP="00C80F3D">
      <w:pPr>
        <w:ind w:left="1440" w:hanging="720"/>
      </w:pPr>
      <w:r>
        <w:t>b)</w:t>
      </w:r>
      <w:r>
        <w:tab/>
      </w:r>
      <w:r w:rsidR="00EB0F74">
        <w:t>the different needs, and contexts in Scotland and Wales, and the stakeholder engagements in place;</w:t>
      </w:r>
    </w:p>
    <w:p w:rsidR="00EB0F74" w:rsidRDefault="00C80F3D" w:rsidP="00C80F3D">
      <w:pPr>
        <w:ind w:left="1440" w:hanging="720"/>
      </w:pPr>
      <w:r>
        <w:t>c)</w:t>
      </w:r>
      <w:r>
        <w:tab/>
      </w:r>
      <w:r w:rsidR="00EB0F74">
        <w:t>the risks and opportunities arising from the investigation or decision not to investigate, particularly strategic, legal, financial, operational and reputational consequences to the Commission;</w:t>
      </w:r>
    </w:p>
    <w:p w:rsidR="00EB0F74" w:rsidRDefault="00C80F3D" w:rsidP="00C80F3D">
      <w:pPr>
        <w:ind w:left="1440" w:hanging="720"/>
      </w:pPr>
      <w:r>
        <w:t>d)</w:t>
      </w:r>
      <w:r>
        <w:tab/>
      </w:r>
      <w:r w:rsidR="00EB0F74">
        <w:t>the impact on the welfare of and support for decision-makers and senior members of EHRC staff who are visible in the public domain;</w:t>
      </w:r>
    </w:p>
    <w:p w:rsidR="00EB0F74" w:rsidRDefault="00C80F3D" w:rsidP="00C80F3D">
      <w:pPr>
        <w:ind w:left="1440" w:hanging="720"/>
      </w:pPr>
      <w:r>
        <w:t>e)</w:t>
      </w:r>
      <w:r>
        <w:tab/>
      </w:r>
      <w:r w:rsidR="00EB0F74">
        <w:t>the need for a full communications plan to ensure clear, consistent messaging on the purpose of an investigation.</w:t>
      </w:r>
    </w:p>
    <w:p w:rsidR="00EB0F74" w:rsidRDefault="00EB0F74" w:rsidP="00E04800">
      <w:pPr>
        <w:ind w:left="720" w:hanging="720"/>
      </w:pPr>
      <w:r>
        <w:t> </w:t>
      </w:r>
    </w:p>
    <w:p w:rsidR="00EB0F74" w:rsidRDefault="00EB0F74" w:rsidP="00E04800">
      <w:pPr>
        <w:ind w:left="720" w:hanging="720"/>
      </w:pPr>
      <w:r>
        <w:t>8.4</w:t>
      </w:r>
      <w:r>
        <w:tab/>
        <w:t xml:space="preserve">The Board agreed by majority that the recommendation for </w:t>
      </w:r>
      <w:r w:rsidR="00C80F3D">
        <w:t>investigating t</w:t>
      </w:r>
      <w:r>
        <w:t xml:space="preserve">he Labour Party in accordance with the paper and its annexes be approved. </w:t>
      </w:r>
      <w:r w:rsidRPr="00EB0F74">
        <w:rPr>
          <w:b/>
          <w:bCs/>
        </w:rPr>
        <w:t>Action: Alastair Pringle and Clare Collier</w:t>
      </w:r>
      <w:r>
        <w:rPr>
          <w:b/>
          <w:bCs/>
        </w:rPr>
        <w:t xml:space="preserve"> </w:t>
      </w:r>
      <w:r w:rsidRPr="00EB0F74">
        <w:rPr>
          <w:bCs/>
        </w:rPr>
        <w:t>to take forward</w:t>
      </w:r>
      <w:r w:rsidR="007A1DF8">
        <w:rPr>
          <w:bCs/>
        </w:rPr>
        <w:t>.</w:t>
      </w:r>
    </w:p>
    <w:p w:rsidR="00EB0F74" w:rsidRDefault="00EB0F74" w:rsidP="00E04800">
      <w:pPr>
        <w:ind w:left="720" w:hanging="720"/>
      </w:pPr>
    </w:p>
    <w:p w:rsidR="00C47DF8" w:rsidRPr="00C47DF8" w:rsidRDefault="00FD1EB8" w:rsidP="00E04800">
      <w:pPr>
        <w:pStyle w:val="Heading1"/>
        <w:keepNext w:val="0"/>
        <w:keepLines w:val="0"/>
      </w:pPr>
      <w:r>
        <w:t>9</w:t>
      </w:r>
      <w:r w:rsidR="00C47DF8" w:rsidRPr="00C47DF8">
        <w:t xml:space="preserve">. </w:t>
      </w:r>
      <w:r w:rsidR="00C47DF8" w:rsidRPr="00C47DF8">
        <w:tab/>
        <w:t xml:space="preserve">“Working Forward” </w:t>
      </w:r>
    </w:p>
    <w:p w:rsidR="00C47DF8" w:rsidRDefault="00C47DF8" w:rsidP="00E04800">
      <w:pPr>
        <w:ind w:left="720" w:hanging="720"/>
      </w:pPr>
    </w:p>
    <w:p w:rsidR="008F01AD" w:rsidRDefault="00FD1EB8" w:rsidP="00E04800">
      <w:pPr>
        <w:ind w:left="720" w:hanging="720"/>
        <w:rPr>
          <w:b/>
          <w:i/>
        </w:rPr>
      </w:pPr>
      <w:r w:rsidRPr="008F01AD">
        <w:t>9</w:t>
      </w:r>
      <w:r w:rsidR="00C47DF8" w:rsidRPr="008F01AD">
        <w:t>.1</w:t>
      </w:r>
      <w:r w:rsidR="00C47DF8" w:rsidRPr="008F01AD">
        <w:tab/>
      </w:r>
      <w:r w:rsidR="008F01AD" w:rsidRPr="008F01AD">
        <w:t>Commissioners Pavita Cooper, Mark McLane and Caroline Waters had been working with officers on a revised proposal</w:t>
      </w:r>
      <w:r w:rsidR="00C70447">
        <w:t xml:space="preserve"> for the Commissio</w:t>
      </w:r>
      <w:r w:rsidR="008F01AD" w:rsidRPr="008F01AD">
        <w:t>n</w:t>
      </w:r>
      <w:r w:rsidR="001117C5">
        <w:t>’</w:t>
      </w:r>
      <w:r w:rsidR="008F01AD" w:rsidRPr="008F01AD">
        <w:t xml:space="preserve">s Working </w:t>
      </w:r>
      <w:r w:rsidR="00C70447">
        <w:t>F</w:t>
      </w:r>
      <w:r w:rsidR="008F01AD" w:rsidRPr="008F01AD">
        <w:t>orward programme</w:t>
      </w:r>
      <w:r w:rsidR="0015015A">
        <w:t xml:space="preserve"> (paper </w:t>
      </w:r>
      <w:r w:rsidR="0015015A" w:rsidRPr="00C70447">
        <w:rPr>
          <w:u w:val="single"/>
        </w:rPr>
        <w:t>EHRC 83.11</w:t>
      </w:r>
      <w:r w:rsidR="0015015A">
        <w:t xml:space="preserve"> refers). This</w:t>
      </w:r>
      <w:r w:rsidR="008F01AD" w:rsidRPr="008F01AD">
        <w:t xml:space="preserve"> proposal </w:t>
      </w:r>
      <w:r w:rsidR="0015015A">
        <w:t>(</w:t>
      </w:r>
      <w:r w:rsidR="008F01AD" w:rsidRPr="008F01AD">
        <w:t xml:space="preserve">that Working Forward be maintained in-house with a scaled back offer, based on what Working Forward members </w:t>
      </w:r>
      <w:r w:rsidR="0015015A">
        <w:t>found most useful)</w:t>
      </w:r>
      <w:r w:rsidR="008F01AD" w:rsidRPr="008F01AD">
        <w:t xml:space="preserve"> took into account the </w:t>
      </w:r>
      <w:r w:rsidR="0015015A">
        <w:t>recently comp</w:t>
      </w:r>
      <w:r w:rsidR="008F01AD" w:rsidRPr="008F01AD">
        <w:t>l</w:t>
      </w:r>
      <w:r w:rsidR="0015015A">
        <w:t>e</w:t>
      </w:r>
      <w:r w:rsidR="008F01AD" w:rsidRPr="008F01AD">
        <w:t xml:space="preserve">ted evaluation of the programme. </w:t>
      </w:r>
    </w:p>
    <w:p w:rsidR="0015015A" w:rsidRDefault="0015015A" w:rsidP="00E04800">
      <w:pPr>
        <w:ind w:left="720" w:hanging="720"/>
      </w:pPr>
    </w:p>
    <w:p w:rsidR="008F01AD" w:rsidRPr="008F01AD" w:rsidRDefault="0015015A" w:rsidP="00E04800">
      <w:pPr>
        <w:ind w:left="720" w:hanging="720"/>
      </w:pPr>
      <w:r>
        <w:t>9.2</w:t>
      </w:r>
      <w:r>
        <w:tab/>
        <w:t>The Board discussed and agreed the proposals as presented.</w:t>
      </w:r>
    </w:p>
    <w:p w:rsidR="00F71D86" w:rsidRDefault="00F71D86" w:rsidP="00E04800">
      <w:pPr>
        <w:ind w:left="720" w:hanging="720"/>
      </w:pPr>
    </w:p>
    <w:p w:rsidR="00C47DF8" w:rsidRPr="00C47DF8" w:rsidRDefault="00FD1EB8" w:rsidP="00E04800">
      <w:pPr>
        <w:pStyle w:val="Heading1"/>
        <w:keepNext w:val="0"/>
        <w:keepLines w:val="0"/>
      </w:pPr>
      <w:r>
        <w:t>10</w:t>
      </w:r>
      <w:r w:rsidR="00C47DF8" w:rsidRPr="00F947FA">
        <w:t xml:space="preserve">. </w:t>
      </w:r>
      <w:r w:rsidR="00C47DF8" w:rsidRPr="00F947FA">
        <w:tab/>
      </w:r>
      <w:r w:rsidR="00C47DF8" w:rsidRPr="00C47DF8">
        <w:rPr>
          <w:shd w:val="clear" w:color="auto" w:fill="FFFFFF" w:themeFill="background1"/>
        </w:rPr>
        <w:t xml:space="preserve">Strengthening Domestic Protection of Human Rights </w:t>
      </w:r>
    </w:p>
    <w:p w:rsidR="00C47DF8" w:rsidRPr="00F947FA" w:rsidRDefault="00C47DF8" w:rsidP="00E04800">
      <w:pPr>
        <w:ind w:left="720" w:hanging="720"/>
      </w:pPr>
    </w:p>
    <w:p w:rsidR="00596549" w:rsidRDefault="00FD1EB8" w:rsidP="00E04800">
      <w:pPr>
        <w:ind w:left="720" w:hanging="720"/>
      </w:pPr>
      <w:r w:rsidRPr="00596549">
        <w:t>10</w:t>
      </w:r>
      <w:r w:rsidR="00C47DF8" w:rsidRPr="00596549">
        <w:t>.1</w:t>
      </w:r>
      <w:r w:rsidR="00596549" w:rsidRPr="00596549">
        <w:tab/>
        <w:t xml:space="preserve">Board members considered paper </w:t>
      </w:r>
      <w:r w:rsidR="00596549" w:rsidRPr="00C70447">
        <w:rPr>
          <w:u w:val="single"/>
        </w:rPr>
        <w:t>EHRC 83.12</w:t>
      </w:r>
      <w:r w:rsidR="00596549">
        <w:t xml:space="preserve"> which proposed</w:t>
      </w:r>
      <w:r w:rsidR="00596549" w:rsidRPr="00596549">
        <w:t xml:space="preserve"> an approach and influencing strategy for strengthening human rights protection by making international human rights law enforceable in domestic courts.</w:t>
      </w:r>
    </w:p>
    <w:p w:rsidR="00596549" w:rsidRDefault="00596549" w:rsidP="00E04800">
      <w:pPr>
        <w:ind w:left="720" w:hanging="720"/>
      </w:pPr>
    </w:p>
    <w:p w:rsidR="008F01AD" w:rsidRDefault="00596549" w:rsidP="00E04800">
      <w:pPr>
        <w:ind w:left="720" w:hanging="720"/>
      </w:pPr>
      <w:r>
        <w:t>10.2</w:t>
      </w:r>
      <w:r>
        <w:tab/>
        <w:t xml:space="preserve">The Board approved the </w:t>
      </w:r>
      <w:r w:rsidRPr="00596549">
        <w:t xml:space="preserve">proposed policy </w:t>
      </w:r>
      <w:r>
        <w:t xml:space="preserve">position that </w:t>
      </w:r>
      <w:r w:rsidRPr="00596549">
        <w:t>all the rights contained in UN human rights treaties should be made part of domestic law in the long term</w:t>
      </w:r>
      <w:r>
        <w:t xml:space="preserve">. The Board agreed that </w:t>
      </w:r>
      <w:r w:rsidRPr="00596549">
        <w:t>shorter-term incremental changes should be pursued in the meantime</w:t>
      </w:r>
      <w:r>
        <w:t xml:space="preserve">. </w:t>
      </w:r>
    </w:p>
    <w:p w:rsidR="008F01AD" w:rsidRDefault="008F01AD" w:rsidP="00E04800">
      <w:pPr>
        <w:ind w:left="720" w:hanging="720"/>
      </w:pPr>
    </w:p>
    <w:p w:rsidR="008F01AD" w:rsidRDefault="008F01AD" w:rsidP="00E04800">
      <w:pPr>
        <w:ind w:left="720" w:hanging="720"/>
      </w:pPr>
      <w:r>
        <w:t>10.3</w:t>
      </w:r>
      <w:r>
        <w:tab/>
        <w:t xml:space="preserve">The Board reflected on the </w:t>
      </w:r>
      <w:r w:rsidRPr="00596549">
        <w:t xml:space="preserve">strategic and political considerations set out </w:t>
      </w:r>
      <w:r>
        <w:t xml:space="preserve">in the paper, and </w:t>
      </w:r>
      <w:r w:rsidR="00C70447">
        <w:t>asked for the points raised in discussion of this issue by the Scotland and Wales Committees</w:t>
      </w:r>
      <w:r w:rsidR="00E63EF1">
        <w:t>, and at the forthcoming Treaty Monitoring CWG meeting,</w:t>
      </w:r>
      <w:r w:rsidR="00C70447">
        <w:t xml:space="preserve"> to be taken into account. </w:t>
      </w:r>
      <w:r>
        <w:t>David Isaac asked Board members to provide any further feedback directly to officers</w:t>
      </w:r>
      <w:r w:rsidR="00C70447">
        <w:t>, and for an update to be provided at the next Board meeting</w:t>
      </w:r>
      <w:r>
        <w:t>.</w:t>
      </w:r>
      <w:r w:rsidR="00C70447">
        <w:t xml:space="preserve"> </w:t>
      </w:r>
      <w:r w:rsidR="00C70447" w:rsidRPr="00C80F3D">
        <w:rPr>
          <w:b/>
        </w:rPr>
        <w:t>Action: Charlie Hamilton</w:t>
      </w:r>
    </w:p>
    <w:p w:rsidR="008F01AD" w:rsidRDefault="008F01AD" w:rsidP="00E04800">
      <w:pPr>
        <w:ind w:left="720" w:hanging="720"/>
        <w:rPr>
          <w:rFonts w:cs="Arial"/>
        </w:rPr>
      </w:pPr>
    </w:p>
    <w:p w:rsidR="00C47DF8" w:rsidRPr="00F947FA" w:rsidRDefault="00FD1EB8" w:rsidP="00E04800">
      <w:pPr>
        <w:pStyle w:val="Heading1"/>
        <w:keepNext w:val="0"/>
        <w:keepLines w:val="0"/>
      </w:pPr>
      <w:r>
        <w:t>11</w:t>
      </w:r>
      <w:r w:rsidR="00C47DF8" w:rsidRPr="00F947FA">
        <w:t xml:space="preserve">. </w:t>
      </w:r>
      <w:r w:rsidR="00C47DF8" w:rsidRPr="00F947FA">
        <w:tab/>
      </w:r>
      <w:r w:rsidR="00C47DF8">
        <w:t xml:space="preserve">Engagement with WEC </w:t>
      </w:r>
    </w:p>
    <w:p w:rsidR="00C47DF8" w:rsidRDefault="00C47DF8" w:rsidP="00E04800">
      <w:pPr>
        <w:pStyle w:val="ListParagraph"/>
        <w:ind w:hanging="720"/>
        <w:contextualSpacing w:val="0"/>
        <w:rPr>
          <w:rFonts w:cs="Arial"/>
          <w:bCs/>
        </w:rPr>
      </w:pPr>
    </w:p>
    <w:p w:rsidR="002A7665" w:rsidRDefault="00FD1EB8" w:rsidP="00E04800">
      <w:pPr>
        <w:ind w:left="720" w:hanging="720"/>
      </w:pPr>
      <w:r>
        <w:rPr>
          <w:rFonts w:cs="Arial"/>
          <w:bCs/>
        </w:rPr>
        <w:t>11</w:t>
      </w:r>
      <w:r w:rsidR="00C47DF8">
        <w:rPr>
          <w:rFonts w:cs="Arial"/>
          <w:bCs/>
        </w:rPr>
        <w:t>.1</w:t>
      </w:r>
      <w:r w:rsidR="00C47DF8">
        <w:rPr>
          <w:rFonts w:cs="Arial"/>
          <w:bCs/>
        </w:rPr>
        <w:tab/>
      </w:r>
      <w:r>
        <w:rPr>
          <w:rFonts w:cs="Arial"/>
          <w:bCs/>
        </w:rPr>
        <w:t xml:space="preserve">Board members reviewed paper </w:t>
      </w:r>
      <w:r w:rsidRPr="00596549">
        <w:rPr>
          <w:rFonts w:cs="Arial"/>
          <w:bCs/>
          <w:u w:val="single"/>
        </w:rPr>
        <w:t>EHRC 83.13</w:t>
      </w:r>
      <w:r w:rsidR="00596549">
        <w:rPr>
          <w:rFonts w:cs="Arial"/>
          <w:bCs/>
        </w:rPr>
        <w:t>.</w:t>
      </w:r>
      <w:r>
        <w:rPr>
          <w:rFonts w:cs="Arial"/>
          <w:bCs/>
        </w:rPr>
        <w:t>The Board was content with the</w:t>
      </w:r>
      <w:r w:rsidR="002A7665" w:rsidRPr="002A7665">
        <w:t xml:space="preserve"> </w:t>
      </w:r>
      <w:r w:rsidR="002A7665">
        <w:t xml:space="preserve">narrative </w:t>
      </w:r>
      <w:r w:rsidR="00DC11CF">
        <w:t xml:space="preserve">to be presented at the WEC hearing as </w:t>
      </w:r>
      <w:r w:rsidR="002A7665">
        <w:t>set out in</w:t>
      </w:r>
      <w:r w:rsidR="00835574">
        <w:t xml:space="preserve"> the</w:t>
      </w:r>
      <w:r w:rsidR="00C80F3D">
        <w:t xml:space="preserve"> paper</w:t>
      </w:r>
      <w:r w:rsidR="002A7665">
        <w:t>. David Is</w:t>
      </w:r>
      <w:r w:rsidR="00596549">
        <w:t>aac asked for any further observations from Board members to be shared directly with officers</w:t>
      </w:r>
    </w:p>
    <w:p w:rsidR="002A7665" w:rsidRDefault="002A7665" w:rsidP="00E04800">
      <w:pPr>
        <w:ind w:left="720" w:hanging="720"/>
      </w:pPr>
    </w:p>
    <w:p w:rsidR="002A7665" w:rsidRPr="002A7665" w:rsidRDefault="002A7665" w:rsidP="00E04800">
      <w:pPr>
        <w:ind w:left="720" w:hanging="720"/>
        <w:rPr>
          <w:b/>
        </w:rPr>
      </w:pPr>
      <w:r>
        <w:t>11.2</w:t>
      </w:r>
      <w:r>
        <w:tab/>
        <w:t>The Board noted that officers continued to liaise with WEC and GEO in relation to preparations for the second evidence session on the current WEC inquiry which would focus on the Commission’s enforcement role</w:t>
      </w:r>
      <w:r w:rsidR="00C70447">
        <w:t xml:space="preserve">, and asked for a progress update at its next meeting. </w:t>
      </w:r>
      <w:r w:rsidR="00C70447" w:rsidRPr="00C70447">
        <w:rPr>
          <w:b/>
        </w:rPr>
        <w:t>Action</w:t>
      </w:r>
      <w:r w:rsidR="00C70447">
        <w:rPr>
          <w:b/>
        </w:rPr>
        <w:t>:</w:t>
      </w:r>
      <w:r w:rsidR="00C70447" w:rsidRPr="00C70447">
        <w:rPr>
          <w:b/>
        </w:rPr>
        <w:t xml:space="preserve"> Paola Uccellari</w:t>
      </w:r>
    </w:p>
    <w:p w:rsidR="00985862" w:rsidRDefault="00985862" w:rsidP="00E04800">
      <w:pPr>
        <w:ind w:left="720" w:hanging="720"/>
        <w:rPr>
          <w:rFonts w:cs="Arial"/>
          <w:b/>
          <w:bCs/>
        </w:rPr>
      </w:pPr>
    </w:p>
    <w:p w:rsidR="00F71D86" w:rsidRPr="00F947FA" w:rsidRDefault="00FD1EB8" w:rsidP="00E04800">
      <w:pPr>
        <w:pStyle w:val="Heading1"/>
        <w:keepNext w:val="0"/>
        <w:keepLines w:val="0"/>
      </w:pPr>
      <w:r>
        <w:t>12</w:t>
      </w:r>
      <w:r w:rsidR="00F71D86" w:rsidRPr="00F947FA">
        <w:t xml:space="preserve">. </w:t>
      </w:r>
      <w:r w:rsidR="00F71D86" w:rsidRPr="00F947FA">
        <w:tab/>
        <w:t>Any Other Business</w:t>
      </w:r>
      <w:r w:rsidR="00032E11">
        <w:t xml:space="preserve"> </w:t>
      </w:r>
    </w:p>
    <w:p w:rsidR="00F71D86" w:rsidRDefault="00F71D86" w:rsidP="00E04800">
      <w:pPr>
        <w:pStyle w:val="ListParagraph"/>
        <w:ind w:hanging="720"/>
        <w:contextualSpacing w:val="0"/>
        <w:rPr>
          <w:rFonts w:cs="Arial"/>
          <w:bCs/>
        </w:rPr>
      </w:pPr>
    </w:p>
    <w:p w:rsidR="00F71D86" w:rsidRDefault="00FD1EB8" w:rsidP="00E04800">
      <w:pPr>
        <w:ind w:left="720" w:hanging="720"/>
      </w:pPr>
      <w:r>
        <w:rPr>
          <w:rFonts w:cs="Arial"/>
          <w:bCs/>
        </w:rPr>
        <w:t>12</w:t>
      </w:r>
      <w:r w:rsidR="00C47DF8">
        <w:rPr>
          <w:rFonts w:cs="Arial"/>
          <w:bCs/>
        </w:rPr>
        <w:t>.1</w:t>
      </w:r>
      <w:r w:rsidR="00032E11">
        <w:rPr>
          <w:rFonts w:cs="Arial"/>
          <w:bCs/>
        </w:rPr>
        <w:tab/>
        <w:t>With no other items of business being raised David Isaac thanked attendees and closed the meeti</w:t>
      </w:r>
      <w:r w:rsidR="00DC18FE">
        <w:rPr>
          <w:rFonts w:cs="Arial"/>
          <w:bCs/>
        </w:rPr>
        <w:t>ng. The Board would next meet</w:t>
      </w:r>
      <w:r w:rsidR="00C47DF8">
        <w:rPr>
          <w:rFonts w:cs="Arial"/>
          <w:bCs/>
        </w:rPr>
        <w:t xml:space="preserve"> o</w:t>
      </w:r>
      <w:r w:rsidR="007A1DF8">
        <w:rPr>
          <w:rFonts w:cs="Arial"/>
          <w:bCs/>
        </w:rPr>
        <w:t>n 3</w:t>
      </w:r>
      <w:r w:rsidR="00C47DF8">
        <w:rPr>
          <w:rFonts w:cs="Arial"/>
          <w:bCs/>
        </w:rPr>
        <w:t xml:space="preserve"> July</w:t>
      </w:r>
      <w:r w:rsidR="00032E11">
        <w:rPr>
          <w:rFonts w:cs="Arial"/>
          <w:bCs/>
        </w:rPr>
        <w:t xml:space="preserve"> 2019.</w:t>
      </w:r>
    </w:p>
    <w:sectPr w:rsidR="00F71D86" w:rsidSect="00036F3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510" w:footer="51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23E" w:rsidRDefault="0067023E" w:rsidP="00E72C89">
      <w:r>
        <w:separator/>
      </w:r>
    </w:p>
  </w:endnote>
  <w:endnote w:type="continuationSeparator" w:id="0">
    <w:p w:rsidR="0067023E" w:rsidRDefault="0067023E" w:rsidP="00E72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DA" w:rsidRDefault="004C7B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7559867"/>
      <w:docPartObj>
        <w:docPartGallery w:val="Page Numbers (Bottom of Page)"/>
        <w:docPartUnique/>
      </w:docPartObj>
    </w:sdtPr>
    <w:sdtEndPr>
      <w:rPr>
        <w:noProof/>
      </w:rPr>
    </w:sdtEndPr>
    <w:sdtContent>
      <w:p w:rsidR="00EA2842" w:rsidRDefault="00036F32" w:rsidP="004C7BDA">
        <w:pPr>
          <w:pStyle w:val="Footer"/>
          <w:jc w:val="right"/>
        </w:pPr>
        <w:r>
          <w:fldChar w:fldCharType="begin"/>
        </w:r>
        <w:r>
          <w:instrText xml:space="preserve"> PAGE   \* MERGEFORMAT </w:instrText>
        </w:r>
        <w:r>
          <w:fldChar w:fldCharType="separate"/>
        </w:r>
        <w:r w:rsidR="004B68BD">
          <w:rPr>
            <w:noProof/>
          </w:rPr>
          <w:t>8</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DA" w:rsidRDefault="004C7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23E" w:rsidRDefault="0067023E" w:rsidP="00E72C89">
      <w:r>
        <w:separator/>
      </w:r>
    </w:p>
  </w:footnote>
  <w:footnote w:type="continuationSeparator" w:id="0">
    <w:p w:rsidR="0067023E" w:rsidRDefault="0067023E" w:rsidP="00E72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DA" w:rsidRDefault="004C7B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DA" w:rsidRDefault="004C7B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DA" w:rsidRDefault="004C7B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A40A5"/>
    <w:multiLevelType w:val="hybridMultilevel"/>
    <w:tmpl w:val="995A7C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813D44"/>
    <w:multiLevelType w:val="hybridMultilevel"/>
    <w:tmpl w:val="E7E876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255B01"/>
    <w:multiLevelType w:val="hybridMultilevel"/>
    <w:tmpl w:val="D0724868"/>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6E08B0"/>
    <w:multiLevelType w:val="hybridMultilevel"/>
    <w:tmpl w:val="2CB6931C"/>
    <w:lvl w:ilvl="0" w:tplc="961A0A66">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FF237D8"/>
    <w:multiLevelType w:val="hybridMultilevel"/>
    <w:tmpl w:val="4B64B388"/>
    <w:lvl w:ilvl="0" w:tplc="DD5C9944">
      <w:start w:val="1"/>
      <w:numFmt w:val="lowerLetter"/>
      <w:lvlText w:val="%1)"/>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0F34A79"/>
    <w:multiLevelType w:val="hybridMultilevel"/>
    <w:tmpl w:val="CC9E8738"/>
    <w:lvl w:ilvl="0" w:tplc="934EA872">
      <w:start w:val="1"/>
      <w:numFmt w:val="lowerLetter"/>
      <w:lvlText w:val="%1."/>
      <w:lvlJc w:val="left"/>
      <w:pPr>
        <w:ind w:left="1455" w:hanging="375"/>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CCB248C"/>
    <w:multiLevelType w:val="hybridMultilevel"/>
    <w:tmpl w:val="B4E08F72"/>
    <w:lvl w:ilvl="0" w:tplc="7C066A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2790B06"/>
    <w:multiLevelType w:val="multilevel"/>
    <w:tmpl w:val="4D6201A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404405D"/>
    <w:multiLevelType w:val="hybridMultilevel"/>
    <w:tmpl w:val="C4E8843A"/>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7EA526E"/>
    <w:multiLevelType w:val="hybridMultilevel"/>
    <w:tmpl w:val="3A74F16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C14E79"/>
    <w:multiLevelType w:val="multilevel"/>
    <w:tmpl w:val="839A3564"/>
    <w:lvl w:ilvl="0">
      <w:start w:val="1"/>
      <w:numFmt w:val="decimal"/>
      <w:lvlText w:val="%1"/>
      <w:lvlJc w:val="left"/>
      <w:pPr>
        <w:ind w:left="360" w:hanging="360"/>
      </w:pPr>
      <w:rPr>
        <w:rFonts w:hint="default"/>
        <w:sz w:val="24"/>
      </w:rPr>
    </w:lvl>
    <w:lvl w:ilvl="1">
      <w:start w:val="5"/>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440" w:hanging="144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1" w15:restartNumberingAfterBreak="0">
    <w:nsid w:val="3E811776"/>
    <w:multiLevelType w:val="hybridMultilevel"/>
    <w:tmpl w:val="71A42C9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15C2E5D"/>
    <w:multiLevelType w:val="hybridMultilevel"/>
    <w:tmpl w:val="A426B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C9484A"/>
    <w:multiLevelType w:val="hybridMultilevel"/>
    <w:tmpl w:val="39C23590"/>
    <w:lvl w:ilvl="0" w:tplc="7C066AAC">
      <w:start w:val="5"/>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49248B9"/>
    <w:multiLevelType w:val="hybridMultilevel"/>
    <w:tmpl w:val="43AA1B80"/>
    <w:lvl w:ilvl="0" w:tplc="788C277E">
      <w:start w:val="1"/>
      <w:numFmt w:val="bullet"/>
      <w:pStyle w:val="WUBullets"/>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Times New Roman"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Times New Roman"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Times New Roman" w:hint="default"/>
      </w:rPr>
    </w:lvl>
    <w:lvl w:ilvl="8" w:tplc="08090005">
      <w:start w:val="1"/>
      <w:numFmt w:val="bullet"/>
      <w:lvlText w:val=""/>
      <w:lvlJc w:val="left"/>
      <w:pPr>
        <w:ind w:left="6764" w:hanging="360"/>
      </w:pPr>
      <w:rPr>
        <w:rFonts w:ascii="Wingdings" w:hAnsi="Wingdings" w:hint="default"/>
      </w:rPr>
    </w:lvl>
  </w:abstractNum>
  <w:abstractNum w:abstractNumId="15" w15:restartNumberingAfterBreak="0">
    <w:nsid w:val="45FD3289"/>
    <w:multiLevelType w:val="hybridMultilevel"/>
    <w:tmpl w:val="EDB0273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2463C2"/>
    <w:multiLevelType w:val="hybridMultilevel"/>
    <w:tmpl w:val="CDDE31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4AA5761"/>
    <w:multiLevelType w:val="multilevel"/>
    <w:tmpl w:val="EA7052C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56B2535"/>
    <w:multiLevelType w:val="hybridMultilevel"/>
    <w:tmpl w:val="12FED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9951C1"/>
    <w:multiLevelType w:val="multilevel"/>
    <w:tmpl w:val="52F4F28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7FF6BD5"/>
    <w:multiLevelType w:val="hybridMultilevel"/>
    <w:tmpl w:val="4FCCD8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8F25391"/>
    <w:multiLevelType w:val="hybridMultilevel"/>
    <w:tmpl w:val="B4E08F72"/>
    <w:lvl w:ilvl="0" w:tplc="7C066A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4A81757"/>
    <w:multiLevelType w:val="multilevel"/>
    <w:tmpl w:val="4AC6E9E2"/>
    <w:lvl w:ilvl="0">
      <w:start w:val="6"/>
      <w:numFmt w:val="decimal"/>
      <w:lvlText w:val="%1"/>
      <w:lvlJc w:val="left"/>
      <w:pPr>
        <w:ind w:left="360" w:hanging="360"/>
      </w:pPr>
      <w:rPr>
        <w:rFonts w:ascii="Arial" w:eastAsia="Calibri" w:hAnsi="Arial" w:cs="Arial" w:hint="default"/>
        <w:b w:val="0"/>
        <w:color w:val="auto"/>
        <w:sz w:val="24"/>
      </w:rPr>
    </w:lvl>
    <w:lvl w:ilvl="1">
      <w:start w:val="1"/>
      <w:numFmt w:val="decimal"/>
      <w:lvlText w:val="%1.%2"/>
      <w:lvlJc w:val="left"/>
      <w:pPr>
        <w:ind w:left="720" w:hanging="720"/>
      </w:pPr>
      <w:rPr>
        <w:rFonts w:ascii="Arial" w:eastAsia="Calibri" w:hAnsi="Arial" w:cs="Arial" w:hint="default"/>
        <w:b w:val="0"/>
        <w:color w:val="auto"/>
        <w:sz w:val="24"/>
      </w:rPr>
    </w:lvl>
    <w:lvl w:ilvl="2">
      <w:start w:val="1"/>
      <w:numFmt w:val="decimal"/>
      <w:lvlText w:val="%1.%2.%3"/>
      <w:lvlJc w:val="left"/>
      <w:pPr>
        <w:ind w:left="1440" w:hanging="1440"/>
      </w:pPr>
      <w:rPr>
        <w:rFonts w:ascii="Arial" w:eastAsia="Calibri" w:hAnsi="Arial" w:cs="Arial" w:hint="default"/>
        <w:b w:val="0"/>
        <w:color w:val="auto"/>
        <w:sz w:val="24"/>
      </w:rPr>
    </w:lvl>
    <w:lvl w:ilvl="3">
      <w:start w:val="1"/>
      <w:numFmt w:val="decimal"/>
      <w:lvlText w:val="%1.%2.%3.%4"/>
      <w:lvlJc w:val="left"/>
      <w:pPr>
        <w:ind w:left="1800" w:hanging="1800"/>
      </w:pPr>
      <w:rPr>
        <w:rFonts w:ascii="Arial" w:eastAsia="Calibri" w:hAnsi="Arial" w:cs="Arial" w:hint="default"/>
        <w:b w:val="0"/>
        <w:color w:val="auto"/>
        <w:sz w:val="24"/>
      </w:rPr>
    </w:lvl>
    <w:lvl w:ilvl="4">
      <w:start w:val="1"/>
      <w:numFmt w:val="decimal"/>
      <w:lvlText w:val="%1.%2.%3.%4.%5"/>
      <w:lvlJc w:val="left"/>
      <w:pPr>
        <w:ind w:left="2160" w:hanging="2160"/>
      </w:pPr>
      <w:rPr>
        <w:rFonts w:ascii="Arial" w:eastAsia="Calibri" w:hAnsi="Arial" w:cs="Arial" w:hint="default"/>
        <w:b w:val="0"/>
        <w:color w:val="auto"/>
        <w:sz w:val="24"/>
      </w:rPr>
    </w:lvl>
    <w:lvl w:ilvl="5">
      <w:start w:val="1"/>
      <w:numFmt w:val="decimal"/>
      <w:lvlText w:val="%1.%2.%3.%4.%5.%6"/>
      <w:lvlJc w:val="left"/>
      <w:pPr>
        <w:ind w:left="2520" w:hanging="2520"/>
      </w:pPr>
      <w:rPr>
        <w:rFonts w:ascii="Arial" w:eastAsia="Calibri" w:hAnsi="Arial" w:cs="Arial" w:hint="default"/>
        <w:b w:val="0"/>
        <w:color w:val="auto"/>
        <w:sz w:val="24"/>
      </w:rPr>
    </w:lvl>
    <w:lvl w:ilvl="6">
      <w:start w:val="1"/>
      <w:numFmt w:val="decimal"/>
      <w:lvlText w:val="%1.%2.%3.%4.%5.%6.%7"/>
      <w:lvlJc w:val="left"/>
      <w:pPr>
        <w:ind w:left="2880" w:hanging="2880"/>
      </w:pPr>
      <w:rPr>
        <w:rFonts w:ascii="Arial" w:eastAsia="Calibri" w:hAnsi="Arial" w:cs="Arial" w:hint="default"/>
        <w:b w:val="0"/>
        <w:color w:val="auto"/>
        <w:sz w:val="24"/>
      </w:rPr>
    </w:lvl>
    <w:lvl w:ilvl="7">
      <w:start w:val="1"/>
      <w:numFmt w:val="decimal"/>
      <w:lvlText w:val="%1.%2.%3.%4.%5.%6.%7.%8"/>
      <w:lvlJc w:val="left"/>
      <w:pPr>
        <w:ind w:left="3240" w:hanging="3240"/>
      </w:pPr>
      <w:rPr>
        <w:rFonts w:ascii="Arial" w:eastAsia="Calibri" w:hAnsi="Arial" w:cs="Arial" w:hint="default"/>
        <w:b w:val="0"/>
        <w:color w:val="auto"/>
        <w:sz w:val="24"/>
      </w:rPr>
    </w:lvl>
    <w:lvl w:ilvl="8">
      <w:start w:val="1"/>
      <w:numFmt w:val="decimal"/>
      <w:lvlText w:val="%1.%2.%3.%4.%5.%6.%7.%8.%9"/>
      <w:lvlJc w:val="left"/>
      <w:pPr>
        <w:ind w:left="3960" w:hanging="3960"/>
      </w:pPr>
      <w:rPr>
        <w:rFonts w:ascii="Arial" w:eastAsia="Calibri" w:hAnsi="Arial" w:cs="Arial" w:hint="default"/>
        <w:b w:val="0"/>
        <w:color w:val="auto"/>
        <w:sz w:val="24"/>
      </w:rPr>
    </w:lvl>
  </w:abstractNum>
  <w:abstractNum w:abstractNumId="23" w15:restartNumberingAfterBreak="0">
    <w:nsid w:val="78151C94"/>
    <w:multiLevelType w:val="hybridMultilevel"/>
    <w:tmpl w:val="53DA28EE"/>
    <w:lvl w:ilvl="0" w:tplc="80000124">
      <w:start w:val="1"/>
      <w:numFmt w:val="bullet"/>
      <w:pStyle w:val="Bullet-followedbyothers"/>
      <w:lvlText w:val=""/>
      <w:lvlJc w:val="left"/>
      <w:pPr>
        <w:ind w:left="720" w:hanging="360"/>
      </w:pPr>
      <w:rPr>
        <w:rFonts w:ascii="Symbol" w:hAnsi="Symbol"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93B0D4D"/>
    <w:multiLevelType w:val="multilevel"/>
    <w:tmpl w:val="1052581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C0B186E"/>
    <w:multiLevelType w:val="hybridMultilevel"/>
    <w:tmpl w:val="B808AB50"/>
    <w:lvl w:ilvl="0" w:tplc="CC7A0072">
      <w:start w:val="1"/>
      <w:numFmt w:val="bullet"/>
      <w:pStyle w:val="Bullets-standard"/>
      <w:lvlText w:val=""/>
      <w:lvlJc w:val="left"/>
      <w:pPr>
        <w:ind w:left="786"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25"/>
  </w:num>
  <w:num w:numId="4">
    <w:abstractNumId w:val="24"/>
  </w:num>
  <w:num w:numId="5">
    <w:abstractNumId w:val="1"/>
  </w:num>
  <w:num w:numId="6">
    <w:abstractNumId w:val="4"/>
  </w:num>
  <w:num w:numId="7">
    <w:abstractNumId w:val="15"/>
  </w:num>
  <w:num w:numId="8">
    <w:abstractNumId w:val="9"/>
  </w:num>
  <w:num w:numId="9">
    <w:abstractNumId w:val="22"/>
  </w:num>
  <w:num w:numId="10">
    <w:abstractNumId w:val="18"/>
  </w:num>
  <w:num w:numId="11">
    <w:abstractNumId w:val="0"/>
  </w:num>
  <w:num w:numId="12">
    <w:abstractNumId w:val="16"/>
  </w:num>
  <w:num w:numId="13">
    <w:abstractNumId w:val="12"/>
  </w:num>
  <w:num w:numId="14">
    <w:abstractNumId w:val="17"/>
  </w:num>
  <w:num w:numId="15">
    <w:abstractNumId w:val="19"/>
  </w:num>
  <w:num w:numId="16">
    <w:abstractNumId w:val="20"/>
  </w:num>
  <w:num w:numId="17">
    <w:abstractNumId w:val="2"/>
  </w:num>
  <w:num w:numId="18">
    <w:abstractNumId w:val="3"/>
  </w:num>
  <w:num w:numId="19">
    <w:abstractNumId w:val="21"/>
  </w:num>
  <w:num w:numId="20">
    <w:abstractNumId w:val="11"/>
  </w:num>
  <w:num w:numId="21">
    <w:abstractNumId w:val="5"/>
  </w:num>
  <w:num w:numId="22">
    <w:abstractNumId w:val="7"/>
  </w:num>
  <w:num w:numId="23">
    <w:abstractNumId w:val="6"/>
  </w:num>
  <w:num w:numId="24">
    <w:abstractNumId w:val="13"/>
  </w:num>
  <w:num w:numId="25">
    <w:abstractNumId w:val="8"/>
  </w:num>
  <w:num w:numId="26">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IM_Brand" w:val="D9"/>
  </w:docVars>
  <w:rsids>
    <w:rsidRoot w:val="00F43BE3"/>
    <w:rsid w:val="00000AB8"/>
    <w:rsid w:val="00000F66"/>
    <w:rsid w:val="0000192D"/>
    <w:rsid w:val="0000210A"/>
    <w:rsid w:val="000035DD"/>
    <w:rsid w:val="00003658"/>
    <w:rsid w:val="00004618"/>
    <w:rsid w:val="000047A5"/>
    <w:rsid w:val="00004A50"/>
    <w:rsid w:val="00004AEE"/>
    <w:rsid w:val="00004E4D"/>
    <w:rsid w:val="00005065"/>
    <w:rsid w:val="00005271"/>
    <w:rsid w:val="00005AC3"/>
    <w:rsid w:val="00005CE0"/>
    <w:rsid w:val="00006256"/>
    <w:rsid w:val="00006BB3"/>
    <w:rsid w:val="00007A9A"/>
    <w:rsid w:val="00010D5C"/>
    <w:rsid w:val="000111B5"/>
    <w:rsid w:val="0001148C"/>
    <w:rsid w:val="00011695"/>
    <w:rsid w:val="000116B4"/>
    <w:rsid w:val="00011B82"/>
    <w:rsid w:val="000132D1"/>
    <w:rsid w:val="000132D2"/>
    <w:rsid w:val="00013DCC"/>
    <w:rsid w:val="00013F3C"/>
    <w:rsid w:val="00014493"/>
    <w:rsid w:val="00014496"/>
    <w:rsid w:val="0001481C"/>
    <w:rsid w:val="0001514C"/>
    <w:rsid w:val="00016AC4"/>
    <w:rsid w:val="000172D9"/>
    <w:rsid w:val="00020131"/>
    <w:rsid w:val="0002082A"/>
    <w:rsid w:val="0002178B"/>
    <w:rsid w:val="00021A4E"/>
    <w:rsid w:val="00021D5B"/>
    <w:rsid w:val="00022FF0"/>
    <w:rsid w:val="000232C5"/>
    <w:rsid w:val="00024E37"/>
    <w:rsid w:val="00026FBC"/>
    <w:rsid w:val="0002731A"/>
    <w:rsid w:val="000275A7"/>
    <w:rsid w:val="00027A15"/>
    <w:rsid w:val="000300CA"/>
    <w:rsid w:val="00031A00"/>
    <w:rsid w:val="00031B9C"/>
    <w:rsid w:val="00032E11"/>
    <w:rsid w:val="000334F3"/>
    <w:rsid w:val="0003481C"/>
    <w:rsid w:val="00034C03"/>
    <w:rsid w:val="00035C27"/>
    <w:rsid w:val="00036110"/>
    <w:rsid w:val="000367D2"/>
    <w:rsid w:val="00036F32"/>
    <w:rsid w:val="000373A1"/>
    <w:rsid w:val="0003775D"/>
    <w:rsid w:val="00037F51"/>
    <w:rsid w:val="0004126C"/>
    <w:rsid w:val="00042527"/>
    <w:rsid w:val="00042800"/>
    <w:rsid w:val="00043A1A"/>
    <w:rsid w:val="00044217"/>
    <w:rsid w:val="0004424F"/>
    <w:rsid w:val="0004451A"/>
    <w:rsid w:val="000446D8"/>
    <w:rsid w:val="000447F6"/>
    <w:rsid w:val="00045448"/>
    <w:rsid w:val="000455FC"/>
    <w:rsid w:val="000468C4"/>
    <w:rsid w:val="00047358"/>
    <w:rsid w:val="00047825"/>
    <w:rsid w:val="00047B4A"/>
    <w:rsid w:val="000507E7"/>
    <w:rsid w:val="00050D76"/>
    <w:rsid w:val="00050ECB"/>
    <w:rsid w:val="00052325"/>
    <w:rsid w:val="000528EE"/>
    <w:rsid w:val="0005326C"/>
    <w:rsid w:val="00053F0F"/>
    <w:rsid w:val="00055466"/>
    <w:rsid w:val="00055C7E"/>
    <w:rsid w:val="00057803"/>
    <w:rsid w:val="00057993"/>
    <w:rsid w:val="00062D64"/>
    <w:rsid w:val="00063DC5"/>
    <w:rsid w:val="00065797"/>
    <w:rsid w:val="00065953"/>
    <w:rsid w:val="00070C1F"/>
    <w:rsid w:val="00070DB2"/>
    <w:rsid w:val="00071CFA"/>
    <w:rsid w:val="000726A4"/>
    <w:rsid w:val="00072741"/>
    <w:rsid w:val="00072C11"/>
    <w:rsid w:val="00072DE2"/>
    <w:rsid w:val="00072FC1"/>
    <w:rsid w:val="000731CD"/>
    <w:rsid w:val="00073576"/>
    <w:rsid w:val="0007427D"/>
    <w:rsid w:val="000747DA"/>
    <w:rsid w:val="00074C38"/>
    <w:rsid w:val="00075520"/>
    <w:rsid w:val="00076389"/>
    <w:rsid w:val="000763E2"/>
    <w:rsid w:val="000764C6"/>
    <w:rsid w:val="0007664A"/>
    <w:rsid w:val="000766D4"/>
    <w:rsid w:val="00076ACC"/>
    <w:rsid w:val="00076E78"/>
    <w:rsid w:val="00076F35"/>
    <w:rsid w:val="0007783F"/>
    <w:rsid w:val="000778CB"/>
    <w:rsid w:val="000779AD"/>
    <w:rsid w:val="00077F6E"/>
    <w:rsid w:val="0008012F"/>
    <w:rsid w:val="00080CD9"/>
    <w:rsid w:val="00080E93"/>
    <w:rsid w:val="00080F33"/>
    <w:rsid w:val="00081201"/>
    <w:rsid w:val="0008322A"/>
    <w:rsid w:val="00083613"/>
    <w:rsid w:val="000846CD"/>
    <w:rsid w:val="00085661"/>
    <w:rsid w:val="00085C42"/>
    <w:rsid w:val="000867DC"/>
    <w:rsid w:val="0008736F"/>
    <w:rsid w:val="0009073D"/>
    <w:rsid w:val="0009116F"/>
    <w:rsid w:val="00091A44"/>
    <w:rsid w:val="000932C7"/>
    <w:rsid w:val="00093681"/>
    <w:rsid w:val="000938C3"/>
    <w:rsid w:val="000940FF"/>
    <w:rsid w:val="000944B0"/>
    <w:rsid w:val="000945CA"/>
    <w:rsid w:val="00094788"/>
    <w:rsid w:val="00095EF4"/>
    <w:rsid w:val="00096D0E"/>
    <w:rsid w:val="000A134C"/>
    <w:rsid w:val="000A1D69"/>
    <w:rsid w:val="000A22A6"/>
    <w:rsid w:val="000A300F"/>
    <w:rsid w:val="000A3C88"/>
    <w:rsid w:val="000A572D"/>
    <w:rsid w:val="000A5A37"/>
    <w:rsid w:val="000A5EF4"/>
    <w:rsid w:val="000A653C"/>
    <w:rsid w:val="000A696F"/>
    <w:rsid w:val="000A69B9"/>
    <w:rsid w:val="000B0164"/>
    <w:rsid w:val="000B05A9"/>
    <w:rsid w:val="000B17FA"/>
    <w:rsid w:val="000B1946"/>
    <w:rsid w:val="000B309A"/>
    <w:rsid w:val="000B362B"/>
    <w:rsid w:val="000B558F"/>
    <w:rsid w:val="000B7297"/>
    <w:rsid w:val="000C03A0"/>
    <w:rsid w:val="000C04FA"/>
    <w:rsid w:val="000C1329"/>
    <w:rsid w:val="000C151C"/>
    <w:rsid w:val="000C1D06"/>
    <w:rsid w:val="000C2901"/>
    <w:rsid w:val="000C2A47"/>
    <w:rsid w:val="000C4240"/>
    <w:rsid w:val="000C4C4C"/>
    <w:rsid w:val="000C4F00"/>
    <w:rsid w:val="000C55CA"/>
    <w:rsid w:val="000C55D1"/>
    <w:rsid w:val="000C6A5C"/>
    <w:rsid w:val="000C7992"/>
    <w:rsid w:val="000D0D50"/>
    <w:rsid w:val="000D1B20"/>
    <w:rsid w:val="000D1D77"/>
    <w:rsid w:val="000D25F8"/>
    <w:rsid w:val="000D3947"/>
    <w:rsid w:val="000D3C39"/>
    <w:rsid w:val="000D4F0B"/>
    <w:rsid w:val="000D6A30"/>
    <w:rsid w:val="000D75CB"/>
    <w:rsid w:val="000D7997"/>
    <w:rsid w:val="000D7FF8"/>
    <w:rsid w:val="000E0C50"/>
    <w:rsid w:val="000E1518"/>
    <w:rsid w:val="000E2453"/>
    <w:rsid w:val="000E2EFD"/>
    <w:rsid w:val="000E353A"/>
    <w:rsid w:val="000E39E3"/>
    <w:rsid w:val="000E4454"/>
    <w:rsid w:val="000E62F1"/>
    <w:rsid w:val="000E6591"/>
    <w:rsid w:val="000E7C2F"/>
    <w:rsid w:val="000F025D"/>
    <w:rsid w:val="000F0F4B"/>
    <w:rsid w:val="000F0F50"/>
    <w:rsid w:val="000F1CDB"/>
    <w:rsid w:val="000F3FEA"/>
    <w:rsid w:val="001009F7"/>
    <w:rsid w:val="00100F6A"/>
    <w:rsid w:val="001016A0"/>
    <w:rsid w:val="00101F64"/>
    <w:rsid w:val="00102E5B"/>
    <w:rsid w:val="00103C30"/>
    <w:rsid w:val="001041EC"/>
    <w:rsid w:val="0010425B"/>
    <w:rsid w:val="0010439A"/>
    <w:rsid w:val="00104E57"/>
    <w:rsid w:val="00107240"/>
    <w:rsid w:val="00107372"/>
    <w:rsid w:val="00107BF2"/>
    <w:rsid w:val="001103B4"/>
    <w:rsid w:val="00110D1C"/>
    <w:rsid w:val="00110E32"/>
    <w:rsid w:val="001117C5"/>
    <w:rsid w:val="00112182"/>
    <w:rsid w:val="0011244D"/>
    <w:rsid w:val="001134A2"/>
    <w:rsid w:val="001136E7"/>
    <w:rsid w:val="001137EC"/>
    <w:rsid w:val="00113939"/>
    <w:rsid w:val="001141C1"/>
    <w:rsid w:val="00114310"/>
    <w:rsid w:val="001143FF"/>
    <w:rsid w:val="001147F4"/>
    <w:rsid w:val="001156E3"/>
    <w:rsid w:val="00115CCE"/>
    <w:rsid w:val="00116836"/>
    <w:rsid w:val="00116E30"/>
    <w:rsid w:val="0011709A"/>
    <w:rsid w:val="00117AF6"/>
    <w:rsid w:val="0012079B"/>
    <w:rsid w:val="001214B1"/>
    <w:rsid w:val="00121ED8"/>
    <w:rsid w:val="00123920"/>
    <w:rsid w:val="001239CD"/>
    <w:rsid w:val="00124C19"/>
    <w:rsid w:val="001270B5"/>
    <w:rsid w:val="001272EB"/>
    <w:rsid w:val="00130385"/>
    <w:rsid w:val="001304A1"/>
    <w:rsid w:val="00130C52"/>
    <w:rsid w:val="00132A13"/>
    <w:rsid w:val="001334D1"/>
    <w:rsid w:val="00134A47"/>
    <w:rsid w:val="00135424"/>
    <w:rsid w:val="001354BE"/>
    <w:rsid w:val="001369DC"/>
    <w:rsid w:val="00136E67"/>
    <w:rsid w:val="00136FFF"/>
    <w:rsid w:val="00137644"/>
    <w:rsid w:val="001377C5"/>
    <w:rsid w:val="00137B22"/>
    <w:rsid w:val="00137C83"/>
    <w:rsid w:val="001400E7"/>
    <w:rsid w:val="00140278"/>
    <w:rsid w:val="00140537"/>
    <w:rsid w:val="001406C9"/>
    <w:rsid w:val="001409FB"/>
    <w:rsid w:val="00142CBB"/>
    <w:rsid w:val="001430BD"/>
    <w:rsid w:val="001432AB"/>
    <w:rsid w:val="0014339F"/>
    <w:rsid w:val="00143C45"/>
    <w:rsid w:val="0014479A"/>
    <w:rsid w:val="0014499F"/>
    <w:rsid w:val="001467C7"/>
    <w:rsid w:val="0014699C"/>
    <w:rsid w:val="00147496"/>
    <w:rsid w:val="0015015A"/>
    <w:rsid w:val="00152D9F"/>
    <w:rsid w:val="001530D7"/>
    <w:rsid w:val="00153273"/>
    <w:rsid w:val="00153809"/>
    <w:rsid w:val="00153CF7"/>
    <w:rsid w:val="001549AB"/>
    <w:rsid w:val="00154F57"/>
    <w:rsid w:val="00155A84"/>
    <w:rsid w:val="00155CB5"/>
    <w:rsid w:val="00156038"/>
    <w:rsid w:val="00156D64"/>
    <w:rsid w:val="001577B6"/>
    <w:rsid w:val="00157D0A"/>
    <w:rsid w:val="00160E65"/>
    <w:rsid w:val="0016136F"/>
    <w:rsid w:val="0016200D"/>
    <w:rsid w:val="00163409"/>
    <w:rsid w:val="00163E71"/>
    <w:rsid w:val="00163F76"/>
    <w:rsid w:val="00164548"/>
    <w:rsid w:val="00164A7E"/>
    <w:rsid w:val="0016682E"/>
    <w:rsid w:val="00167542"/>
    <w:rsid w:val="00170551"/>
    <w:rsid w:val="00171B8E"/>
    <w:rsid w:val="0017358B"/>
    <w:rsid w:val="00173F10"/>
    <w:rsid w:val="00174BE9"/>
    <w:rsid w:val="00175C59"/>
    <w:rsid w:val="00176027"/>
    <w:rsid w:val="00176415"/>
    <w:rsid w:val="001768DB"/>
    <w:rsid w:val="00176A19"/>
    <w:rsid w:val="00176A3A"/>
    <w:rsid w:val="00176E9B"/>
    <w:rsid w:val="0017709E"/>
    <w:rsid w:val="001776F6"/>
    <w:rsid w:val="00180389"/>
    <w:rsid w:val="00181319"/>
    <w:rsid w:val="0018147A"/>
    <w:rsid w:val="00181715"/>
    <w:rsid w:val="001819FA"/>
    <w:rsid w:val="00181E14"/>
    <w:rsid w:val="00182973"/>
    <w:rsid w:val="00182A1B"/>
    <w:rsid w:val="00182B7C"/>
    <w:rsid w:val="00182E2F"/>
    <w:rsid w:val="00184490"/>
    <w:rsid w:val="00184568"/>
    <w:rsid w:val="00184A3A"/>
    <w:rsid w:val="001850DA"/>
    <w:rsid w:val="00185C70"/>
    <w:rsid w:val="001866CF"/>
    <w:rsid w:val="00187569"/>
    <w:rsid w:val="001913A9"/>
    <w:rsid w:val="0019153F"/>
    <w:rsid w:val="00192501"/>
    <w:rsid w:val="001928E3"/>
    <w:rsid w:val="0019338C"/>
    <w:rsid w:val="00194161"/>
    <w:rsid w:val="001949B5"/>
    <w:rsid w:val="0019549F"/>
    <w:rsid w:val="0019572E"/>
    <w:rsid w:val="001958E3"/>
    <w:rsid w:val="00195C8F"/>
    <w:rsid w:val="00196733"/>
    <w:rsid w:val="00196B2B"/>
    <w:rsid w:val="00196DB1"/>
    <w:rsid w:val="001979D0"/>
    <w:rsid w:val="001A01D5"/>
    <w:rsid w:val="001A03A7"/>
    <w:rsid w:val="001A0503"/>
    <w:rsid w:val="001A0583"/>
    <w:rsid w:val="001A0A70"/>
    <w:rsid w:val="001A0C45"/>
    <w:rsid w:val="001A0D0B"/>
    <w:rsid w:val="001A19C1"/>
    <w:rsid w:val="001A2CF0"/>
    <w:rsid w:val="001A2EE1"/>
    <w:rsid w:val="001A3C29"/>
    <w:rsid w:val="001A3E09"/>
    <w:rsid w:val="001A542E"/>
    <w:rsid w:val="001A66F7"/>
    <w:rsid w:val="001A7BBE"/>
    <w:rsid w:val="001A7CE7"/>
    <w:rsid w:val="001B0020"/>
    <w:rsid w:val="001B0326"/>
    <w:rsid w:val="001B0D53"/>
    <w:rsid w:val="001B0F0E"/>
    <w:rsid w:val="001B1D91"/>
    <w:rsid w:val="001B22C6"/>
    <w:rsid w:val="001B6109"/>
    <w:rsid w:val="001B677B"/>
    <w:rsid w:val="001B67B1"/>
    <w:rsid w:val="001B6E3C"/>
    <w:rsid w:val="001B7CEA"/>
    <w:rsid w:val="001C01EB"/>
    <w:rsid w:val="001C0E14"/>
    <w:rsid w:val="001C2230"/>
    <w:rsid w:val="001C27C9"/>
    <w:rsid w:val="001C3316"/>
    <w:rsid w:val="001C379B"/>
    <w:rsid w:val="001C3A6A"/>
    <w:rsid w:val="001C3C42"/>
    <w:rsid w:val="001C3F96"/>
    <w:rsid w:val="001C41E6"/>
    <w:rsid w:val="001C42EA"/>
    <w:rsid w:val="001C48F4"/>
    <w:rsid w:val="001C49BF"/>
    <w:rsid w:val="001C6F90"/>
    <w:rsid w:val="001C7204"/>
    <w:rsid w:val="001C7731"/>
    <w:rsid w:val="001D142E"/>
    <w:rsid w:val="001D22A5"/>
    <w:rsid w:val="001D35C2"/>
    <w:rsid w:val="001D3A9A"/>
    <w:rsid w:val="001D415D"/>
    <w:rsid w:val="001D4688"/>
    <w:rsid w:val="001D5FF9"/>
    <w:rsid w:val="001E0B57"/>
    <w:rsid w:val="001E258D"/>
    <w:rsid w:val="001E27BD"/>
    <w:rsid w:val="001E2E3B"/>
    <w:rsid w:val="001E3381"/>
    <w:rsid w:val="001E3467"/>
    <w:rsid w:val="001E38F5"/>
    <w:rsid w:val="001E3D40"/>
    <w:rsid w:val="001E44EC"/>
    <w:rsid w:val="001E4640"/>
    <w:rsid w:val="001E46C6"/>
    <w:rsid w:val="001E47AE"/>
    <w:rsid w:val="001E48D3"/>
    <w:rsid w:val="001E60E1"/>
    <w:rsid w:val="001E61C9"/>
    <w:rsid w:val="001E64B3"/>
    <w:rsid w:val="001E682C"/>
    <w:rsid w:val="001E6927"/>
    <w:rsid w:val="001E6B83"/>
    <w:rsid w:val="001E7D9D"/>
    <w:rsid w:val="001F01D9"/>
    <w:rsid w:val="001F0E32"/>
    <w:rsid w:val="001F100B"/>
    <w:rsid w:val="001F1A92"/>
    <w:rsid w:val="001F3958"/>
    <w:rsid w:val="001F41C6"/>
    <w:rsid w:val="001F4FF2"/>
    <w:rsid w:val="001F56A2"/>
    <w:rsid w:val="001F6438"/>
    <w:rsid w:val="001F7628"/>
    <w:rsid w:val="00200A90"/>
    <w:rsid w:val="00201CF4"/>
    <w:rsid w:val="002022D2"/>
    <w:rsid w:val="00203033"/>
    <w:rsid w:val="00203425"/>
    <w:rsid w:val="00203B81"/>
    <w:rsid w:val="00203F07"/>
    <w:rsid w:val="00205608"/>
    <w:rsid w:val="00205E39"/>
    <w:rsid w:val="002060B9"/>
    <w:rsid w:val="00206237"/>
    <w:rsid w:val="00206C6A"/>
    <w:rsid w:val="002071A1"/>
    <w:rsid w:val="00207C68"/>
    <w:rsid w:val="00211705"/>
    <w:rsid w:val="00211CAE"/>
    <w:rsid w:val="002127CF"/>
    <w:rsid w:val="002139D5"/>
    <w:rsid w:val="00213F56"/>
    <w:rsid w:val="00214156"/>
    <w:rsid w:val="00215450"/>
    <w:rsid w:val="00215B10"/>
    <w:rsid w:val="002167BA"/>
    <w:rsid w:val="00217360"/>
    <w:rsid w:val="002174D9"/>
    <w:rsid w:val="00220239"/>
    <w:rsid w:val="00220A6E"/>
    <w:rsid w:val="002211F2"/>
    <w:rsid w:val="00221596"/>
    <w:rsid w:val="00221917"/>
    <w:rsid w:val="00221CA5"/>
    <w:rsid w:val="00222162"/>
    <w:rsid w:val="00223AD0"/>
    <w:rsid w:val="00223AE1"/>
    <w:rsid w:val="00225040"/>
    <w:rsid w:val="002257A1"/>
    <w:rsid w:val="00225DED"/>
    <w:rsid w:val="0022688D"/>
    <w:rsid w:val="002313FA"/>
    <w:rsid w:val="00231C9A"/>
    <w:rsid w:val="00231D1D"/>
    <w:rsid w:val="00232409"/>
    <w:rsid w:val="00233ABF"/>
    <w:rsid w:val="00233FD5"/>
    <w:rsid w:val="002345A1"/>
    <w:rsid w:val="002345AF"/>
    <w:rsid w:val="00234937"/>
    <w:rsid w:val="00234F7A"/>
    <w:rsid w:val="002364E0"/>
    <w:rsid w:val="002364E4"/>
    <w:rsid w:val="0023685F"/>
    <w:rsid w:val="00236993"/>
    <w:rsid w:val="00236B13"/>
    <w:rsid w:val="00240362"/>
    <w:rsid w:val="00242A80"/>
    <w:rsid w:val="002437BA"/>
    <w:rsid w:val="0024413E"/>
    <w:rsid w:val="002441B7"/>
    <w:rsid w:val="00244826"/>
    <w:rsid w:val="00244E20"/>
    <w:rsid w:val="00245B0D"/>
    <w:rsid w:val="00246964"/>
    <w:rsid w:val="00246FA0"/>
    <w:rsid w:val="00247960"/>
    <w:rsid w:val="00247F27"/>
    <w:rsid w:val="0025341B"/>
    <w:rsid w:val="00253CF0"/>
    <w:rsid w:val="00253D8F"/>
    <w:rsid w:val="00254513"/>
    <w:rsid w:val="002549CC"/>
    <w:rsid w:val="002558B2"/>
    <w:rsid w:val="00255C29"/>
    <w:rsid w:val="0025665C"/>
    <w:rsid w:val="00256BD2"/>
    <w:rsid w:val="00256F6B"/>
    <w:rsid w:val="002607FE"/>
    <w:rsid w:val="002616DF"/>
    <w:rsid w:val="002617AE"/>
    <w:rsid w:val="00261C4B"/>
    <w:rsid w:val="00261D00"/>
    <w:rsid w:val="00261D44"/>
    <w:rsid w:val="002625D3"/>
    <w:rsid w:val="00262765"/>
    <w:rsid w:val="00262D19"/>
    <w:rsid w:val="00262EFF"/>
    <w:rsid w:val="00263D36"/>
    <w:rsid w:val="0026491B"/>
    <w:rsid w:val="00264BE9"/>
    <w:rsid w:val="00264D07"/>
    <w:rsid w:val="002651A8"/>
    <w:rsid w:val="00265EC6"/>
    <w:rsid w:val="00266679"/>
    <w:rsid w:val="00266F26"/>
    <w:rsid w:val="00267258"/>
    <w:rsid w:val="00272F75"/>
    <w:rsid w:val="0027456B"/>
    <w:rsid w:val="00274808"/>
    <w:rsid w:val="00275795"/>
    <w:rsid w:val="00276A74"/>
    <w:rsid w:val="002773D7"/>
    <w:rsid w:val="002774C2"/>
    <w:rsid w:val="002775D2"/>
    <w:rsid w:val="00277B41"/>
    <w:rsid w:val="00280C6A"/>
    <w:rsid w:val="00280EDC"/>
    <w:rsid w:val="0028153A"/>
    <w:rsid w:val="0028163F"/>
    <w:rsid w:val="00281AD2"/>
    <w:rsid w:val="00281E21"/>
    <w:rsid w:val="0028252D"/>
    <w:rsid w:val="0028310A"/>
    <w:rsid w:val="00283268"/>
    <w:rsid w:val="00284117"/>
    <w:rsid w:val="00284602"/>
    <w:rsid w:val="002850C3"/>
    <w:rsid w:val="002858B6"/>
    <w:rsid w:val="00286260"/>
    <w:rsid w:val="00286706"/>
    <w:rsid w:val="00286798"/>
    <w:rsid w:val="00287585"/>
    <w:rsid w:val="00287861"/>
    <w:rsid w:val="0029041D"/>
    <w:rsid w:val="00291C55"/>
    <w:rsid w:val="00291E06"/>
    <w:rsid w:val="002925DA"/>
    <w:rsid w:val="002948DC"/>
    <w:rsid w:val="00294B55"/>
    <w:rsid w:val="00294E7C"/>
    <w:rsid w:val="00294EB5"/>
    <w:rsid w:val="002951F3"/>
    <w:rsid w:val="00295349"/>
    <w:rsid w:val="002954DF"/>
    <w:rsid w:val="00295D77"/>
    <w:rsid w:val="00296D44"/>
    <w:rsid w:val="00296E4F"/>
    <w:rsid w:val="002A0B3E"/>
    <w:rsid w:val="002A3062"/>
    <w:rsid w:val="002A54A9"/>
    <w:rsid w:val="002A5BB5"/>
    <w:rsid w:val="002A7360"/>
    <w:rsid w:val="002A7665"/>
    <w:rsid w:val="002A7C3B"/>
    <w:rsid w:val="002B1D6B"/>
    <w:rsid w:val="002B258E"/>
    <w:rsid w:val="002B2628"/>
    <w:rsid w:val="002B30D5"/>
    <w:rsid w:val="002B342A"/>
    <w:rsid w:val="002B38E9"/>
    <w:rsid w:val="002B45D1"/>
    <w:rsid w:val="002B4656"/>
    <w:rsid w:val="002B46BD"/>
    <w:rsid w:val="002B4AA2"/>
    <w:rsid w:val="002B4EEE"/>
    <w:rsid w:val="002B5404"/>
    <w:rsid w:val="002B5AAB"/>
    <w:rsid w:val="002B6C3F"/>
    <w:rsid w:val="002B6D57"/>
    <w:rsid w:val="002B6E13"/>
    <w:rsid w:val="002B7E9B"/>
    <w:rsid w:val="002C0913"/>
    <w:rsid w:val="002C1882"/>
    <w:rsid w:val="002C280D"/>
    <w:rsid w:val="002C3C0E"/>
    <w:rsid w:val="002C4B07"/>
    <w:rsid w:val="002C560F"/>
    <w:rsid w:val="002C579A"/>
    <w:rsid w:val="002C6265"/>
    <w:rsid w:val="002C6E74"/>
    <w:rsid w:val="002D0F7D"/>
    <w:rsid w:val="002D15DD"/>
    <w:rsid w:val="002D18C3"/>
    <w:rsid w:val="002D1A80"/>
    <w:rsid w:val="002D1F53"/>
    <w:rsid w:val="002D2083"/>
    <w:rsid w:val="002D20F6"/>
    <w:rsid w:val="002D34CA"/>
    <w:rsid w:val="002D3830"/>
    <w:rsid w:val="002D443F"/>
    <w:rsid w:val="002D64E4"/>
    <w:rsid w:val="002D7C0F"/>
    <w:rsid w:val="002E0B72"/>
    <w:rsid w:val="002E138D"/>
    <w:rsid w:val="002E3256"/>
    <w:rsid w:val="002E39CA"/>
    <w:rsid w:val="002E488E"/>
    <w:rsid w:val="002E501C"/>
    <w:rsid w:val="002E5AED"/>
    <w:rsid w:val="002E5D21"/>
    <w:rsid w:val="002E7689"/>
    <w:rsid w:val="002F113A"/>
    <w:rsid w:val="002F1286"/>
    <w:rsid w:val="002F1B57"/>
    <w:rsid w:val="002F25B4"/>
    <w:rsid w:val="002F352D"/>
    <w:rsid w:val="002F3634"/>
    <w:rsid w:val="002F4811"/>
    <w:rsid w:val="002F4CE6"/>
    <w:rsid w:val="002F5DB9"/>
    <w:rsid w:val="002F6987"/>
    <w:rsid w:val="003002BD"/>
    <w:rsid w:val="00300307"/>
    <w:rsid w:val="003004AB"/>
    <w:rsid w:val="00300CA3"/>
    <w:rsid w:val="00301FE9"/>
    <w:rsid w:val="0030211E"/>
    <w:rsid w:val="00303742"/>
    <w:rsid w:val="0030498F"/>
    <w:rsid w:val="00304F06"/>
    <w:rsid w:val="00305D4A"/>
    <w:rsid w:val="00306C19"/>
    <w:rsid w:val="00307292"/>
    <w:rsid w:val="003109A8"/>
    <w:rsid w:val="00310F74"/>
    <w:rsid w:val="00311201"/>
    <w:rsid w:val="00311D01"/>
    <w:rsid w:val="00312908"/>
    <w:rsid w:val="00313EBA"/>
    <w:rsid w:val="003156D3"/>
    <w:rsid w:val="00315987"/>
    <w:rsid w:val="00315C53"/>
    <w:rsid w:val="00317ADF"/>
    <w:rsid w:val="00321305"/>
    <w:rsid w:val="00321397"/>
    <w:rsid w:val="00321424"/>
    <w:rsid w:val="00321E70"/>
    <w:rsid w:val="00322813"/>
    <w:rsid w:val="00322A03"/>
    <w:rsid w:val="0032334C"/>
    <w:rsid w:val="003254F1"/>
    <w:rsid w:val="00326606"/>
    <w:rsid w:val="003278E7"/>
    <w:rsid w:val="00327902"/>
    <w:rsid w:val="00330B30"/>
    <w:rsid w:val="00330E69"/>
    <w:rsid w:val="00331D21"/>
    <w:rsid w:val="003323D1"/>
    <w:rsid w:val="00334F07"/>
    <w:rsid w:val="003405DF"/>
    <w:rsid w:val="0034256A"/>
    <w:rsid w:val="003432BA"/>
    <w:rsid w:val="00344363"/>
    <w:rsid w:val="00344D43"/>
    <w:rsid w:val="0034587A"/>
    <w:rsid w:val="0034617C"/>
    <w:rsid w:val="003464F6"/>
    <w:rsid w:val="003477DA"/>
    <w:rsid w:val="00347EB8"/>
    <w:rsid w:val="00347FFA"/>
    <w:rsid w:val="00350AD5"/>
    <w:rsid w:val="00350FCD"/>
    <w:rsid w:val="003528A3"/>
    <w:rsid w:val="003547CD"/>
    <w:rsid w:val="00354A80"/>
    <w:rsid w:val="00355380"/>
    <w:rsid w:val="00355ED1"/>
    <w:rsid w:val="00355FF4"/>
    <w:rsid w:val="003567BA"/>
    <w:rsid w:val="003568BE"/>
    <w:rsid w:val="00356967"/>
    <w:rsid w:val="003571FF"/>
    <w:rsid w:val="003575B4"/>
    <w:rsid w:val="00361E3B"/>
    <w:rsid w:val="003625BB"/>
    <w:rsid w:val="00362E0C"/>
    <w:rsid w:val="0036324C"/>
    <w:rsid w:val="003636BC"/>
    <w:rsid w:val="0036413B"/>
    <w:rsid w:val="003650DF"/>
    <w:rsid w:val="00365195"/>
    <w:rsid w:val="003664E8"/>
    <w:rsid w:val="00367065"/>
    <w:rsid w:val="00367087"/>
    <w:rsid w:val="0036728D"/>
    <w:rsid w:val="00367B65"/>
    <w:rsid w:val="00367E56"/>
    <w:rsid w:val="003702FD"/>
    <w:rsid w:val="0037066F"/>
    <w:rsid w:val="0037068F"/>
    <w:rsid w:val="00370A24"/>
    <w:rsid w:val="00370B97"/>
    <w:rsid w:val="0037118C"/>
    <w:rsid w:val="003716ED"/>
    <w:rsid w:val="00371D02"/>
    <w:rsid w:val="00371E51"/>
    <w:rsid w:val="00372051"/>
    <w:rsid w:val="003723BD"/>
    <w:rsid w:val="0037480D"/>
    <w:rsid w:val="003751CE"/>
    <w:rsid w:val="00375512"/>
    <w:rsid w:val="00376292"/>
    <w:rsid w:val="00376628"/>
    <w:rsid w:val="00376B92"/>
    <w:rsid w:val="0038029B"/>
    <w:rsid w:val="003803BB"/>
    <w:rsid w:val="00381012"/>
    <w:rsid w:val="00382A7D"/>
    <w:rsid w:val="00383A70"/>
    <w:rsid w:val="00384060"/>
    <w:rsid w:val="0038546A"/>
    <w:rsid w:val="00385BCF"/>
    <w:rsid w:val="003861E1"/>
    <w:rsid w:val="0038732F"/>
    <w:rsid w:val="0039086C"/>
    <w:rsid w:val="003908FA"/>
    <w:rsid w:val="00390F83"/>
    <w:rsid w:val="0039139D"/>
    <w:rsid w:val="00391536"/>
    <w:rsid w:val="003918ED"/>
    <w:rsid w:val="0039249A"/>
    <w:rsid w:val="00393A51"/>
    <w:rsid w:val="00395CB9"/>
    <w:rsid w:val="00396EA9"/>
    <w:rsid w:val="00397536"/>
    <w:rsid w:val="003A1132"/>
    <w:rsid w:val="003A3C6E"/>
    <w:rsid w:val="003A41F9"/>
    <w:rsid w:val="003A48EC"/>
    <w:rsid w:val="003A52E1"/>
    <w:rsid w:val="003A57B0"/>
    <w:rsid w:val="003A60FA"/>
    <w:rsid w:val="003A7BE7"/>
    <w:rsid w:val="003A7F75"/>
    <w:rsid w:val="003B08D6"/>
    <w:rsid w:val="003B0D3C"/>
    <w:rsid w:val="003B13CD"/>
    <w:rsid w:val="003B1986"/>
    <w:rsid w:val="003B1D28"/>
    <w:rsid w:val="003B2565"/>
    <w:rsid w:val="003B4B83"/>
    <w:rsid w:val="003B5AA2"/>
    <w:rsid w:val="003B69CB"/>
    <w:rsid w:val="003B707A"/>
    <w:rsid w:val="003C099B"/>
    <w:rsid w:val="003C1335"/>
    <w:rsid w:val="003C1D69"/>
    <w:rsid w:val="003C247E"/>
    <w:rsid w:val="003C2F70"/>
    <w:rsid w:val="003C369F"/>
    <w:rsid w:val="003C4811"/>
    <w:rsid w:val="003C4C1A"/>
    <w:rsid w:val="003C5B9B"/>
    <w:rsid w:val="003C60B7"/>
    <w:rsid w:val="003C6B30"/>
    <w:rsid w:val="003C73D5"/>
    <w:rsid w:val="003D01E2"/>
    <w:rsid w:val="003D06C4"/>
    <w:rsid w:val="003D07D7"/>
    <w:rsid w:val="003D109A"/>
    <w:rsid w:val="003D10FF"/>
    <w:rsid w:val="003D5059"/>
    <w:rsid w:val="003E1110"/>
    <w:rsid w:val="003E1A3F"/>
    <w:rsid w:val="003E1EC0"/>
    <w:rsid w:val="003E2479"/>
    <w:rsid w:val="003E29AA"/>
    <w:rsid w:val="003E2B8A"/>
    <w:rsid w:val="003E340E"/>
    <w:rsid w:val="003E344D"/>
    <w:rsid w:val="003E3559"/>
    <w:rsid w:val="003E5688"/>
    <w:rsid w:val="003E5737"/>
    <w:rsid w:val="003E68D8"/>
    <w:rsid w:val="003F0217"/>
    <w:rsid w:val="003F0E6F"/>
    <w:rsid w:val="003F13A9"/>
    <w:rsid w:val="003F1468"/>
    <w:rsid w:val="003F1936"/>
    <w:rsid w:val="003F3424"/>
    <w:rsid w:val="003F3951"/>
    <w:rsid w:val="003F3A10"/>
    <w:rsid w:val="003F5F02"/>
    <w:rsid w:val="003F6DBA"/>
    <w:rsid w:val="003F78BC"/>
    <w:rsid w:val="003F7F4D"/>
    <w:rsid w:val="004003B7"/>
    <w:rsid w:val="00401612"/>
    <w:rsid w:val="004018C5"/>
    <w:rsid w:val="00401FD0"/>
    <w:rsid w:val="00402ABF"/>
    <w:rsid w:val="00402CE2"/>
    <w:rsid w:val="004039EA"/>
    <w:rsid w:val="00403BCC"/>
    <w:rsid w:val="00404C31"/>
    <w:rsid w:val="00404EE3"/>
    <w:rsid w:val="00406144"/>
    <w:rsid w:val="0040708D"/>
    <w:rsid w:val="00407198"/>
    <w:rsid w:val="00410CA3"/>
    <w:rsid w:val="00410E3E"/>
    <w:rsid w:val="004114B2"/>
    <w:rsid w:val="00412D71"/>
    <w:rsid w:val="0041380E"/>
    <w:rsid w:val="00413934"/>
    <w:rsid w:val="00415053"/>
    <w:rsid w:val="0041523A"/>
    <w:rsid w:val="00416CC5"/>
    <w:rsid w:val="00417298"/>
    <w:rsid w:val="00417B4D"/>
    <w:rsid w:val="00417E98"/>
    <w:rsid w:val="00420234"/>
    <w:rsid w:val="004210BA"/>
    <w:rsid w:val="00421423"/>
    <w:rsid w:val="00421663"/>
    <w:rsid w:val="0042169A"/>
    <w:rsid w:val="00422AC3"/>
    <w:rsid w:val="00422AEE"/>
    <w:rsid w:val="00422E73"/>
    <w:rsid w:val="00423276"/>
    <w:rsid w:val="00423E8A"/>
    <w:rsid w:val="00424E6B"/>
    <w:rsid w:val="00425681"/>
    <w:rsid w:val="00425BB9"/>
    <w:rsid w:val="00425D00"/>
    <w:rsid w:val="00426053"/>
    <w:rsid w:val="00426C0A"/>
    <w:rsid w:val="004312A4"/>
    <w:rsid w:val="004326AB"/>
    <w:rsid w:val="00432BCA"/>
    <w:rsid w:val="00433542"/>
    <w:rsid w:val="00435DF1"/>
    <w:rsid w:val="00435F83"/>
    <w:rsid w:val="00436454"/>
    <w:rsid w:val="00436AA8"/>
    <w:rsid w:val="004375E1"/>
    <w:rsid w:val="00440DA7"/>
    <w:rsid w:val="0044265F"/>
    <w:rsid w:val="004428D2"/>
    <w:rsid w:val="0044342B"/>
    <w:rsid w:val="00443A48"/>
    <w:rsid w:val="00447367"/>
    <w:rsid w:val="00447AAC"/>
    <w:rsid w:val="00447C4F"/>
    <w:rsid w:val="00450B64"/>
    <w:rsid w:val="00451008"/>
    <w:rsid w:val="00451BC8"/>
    <w:rsid w:val="00451E3E"/>
    <w:rsid w:val="004524CC"/>
    <w:rsid w:val="00452609"/>
    <w:rsid w:val="004541D2"/>
    <w:rsid w:val="0045502E"/>
    <w:rsid w:val="004553DD"/>
    <w:rsid w:val="00455FBA"/>
    <w:rsid w:val="00456C87"/>
    <w:rsid w:val="004574F2"/>
    <w:rsid w:val="00457ECA"/>
    <w:rsid w:val="00460288"/>
    <w:rsid w:val="00461C01"/>
    <w:rsid w:val="00462457"/>
    <w:rsid w:val="00462EA0"/>
    <w:rsid w:val="00463056"/>
    <w:rsid w:val="00463842"/>
    <w:rsid w:val="00463A61"/>
    <w:rsid w:val="0046467C"/>
    <w:rsid w:val="00464873"/>
    <w:rsid w:val="004670EF"/>
    <w:rsid w:val="004707BE"/>
    <w:rsid w:val="00471173"/>
    <w:rsid w:val="004724A0"/>
    <w:rsid w:val="004726D2"/>
    <w:rsid w:val="00472758"/>
    <w:rsid w:val="004734F6"/>
    <w:rsid w:val="00473BAA"/>
    <w:rsid w:val="004746B3"/>
    <w:rsid w:val="004753DD"/>
    <w:rsid w:val="004756B0"/>
    <w:rsid w:val="00475B7C"/>
    <w:rsid w:val="00481C08"/>
    <w:rsid w:val="004821E4"/>
    <w:rsid w:val="004822A8"/>
    <w:rsid w:val="00482F9E"/>
    <w:rsid w:val="00483CFF"/>
    <w:rsid w:val="004840DF"/>
    <w:rsid w:val="004844BA"/>
    <w:rsid w:val="00484766"/>
    <w:rsid w:val="004850ED"/>
    <w:rsid w:val="00486112"/>
    <w:rsid w:val="004868C7"/>
    <w:rsid w:val="00486CE9"/>
    <w:rsid w:val="00487981"/>
    <w:rsid w:val="00487C7D"/>
    <w:rsid w:val="00490C02"/>
    <w:rsid w:val="00490D96"/>
    <w:rsid w:val="00491EAE"/>
    <w:rsid w:val="0049274A"/>
    <w:rsid w:val="00493D7B"/>
    <w:rsid w:val="00495129"/>
    <w:rsid w:val="00495F79"/>
    <w:rsid w:val="00496FD1"/>
    <w:rsid w:val="004A012A"/>
    <w:rsid w:val="004A161C"/>
    <w:rsid w:val="004A4489"/>
    <w:rsid w:val="004A4499"/>
    <w:rsid w:val="004A4635"/>
    <w:rsid w:val="004A48C1"/>
    <w:rsid w:val="004A49A8"/>
    <w:rsid w:val="004A4CE9"/>
    <w:rsid w:val="004A52CB"/>
    <w:rsid w:val="004A6F33"/>
    <w:rsid w:val="004B1FE9"/>
    <w:rsid w:val="004B2917"/>
    <w:rsid w:val="004B2A71"/>
    <w:rsid w:val="004B49D5"/>
    <w:rsid w:val="004B5AD3"/>
    <w:rsid w:val="004B632F"/>
    <w:rsid w:val="004B6667"/>
    <w:rsid w:val="004B67A9"/>
    <w:rsid w:val="004B68BD"/>
    <w:rsid w:val="004B7B49"/>
    <w:rsid w:val="004B7D0D"/>
    <w:rsid w:val="004C10D2"/>
    <w:rsid w:val="004C2B51"/>
    <w:rsid w:val="004C322C"/>
    <w:rsid w:val="004C4C63"/>
    <w:rsid w:val="004C5450"/>
    <w:rsid w:val="004C55EE"/>
    <w:rsid w:val="004C5AFF"/>
    <w:rsid w:val="004C66FC"/>
    <w:rsid w:val="004C7BDA"/>
    <w:rsid w:val="004D4196"/>
    <w:rsid w:val="004D437E"/>
    <w:rsid w:val="004D4628"/>
    <w:rsid w:val="004D48DE"/>
    <w:rsid w:val="004D4F6E"/>
    <w:rsid w:val="004D71D4"/>
    <w:rsid w:val="004D7744"/>
    <w:rsid w:val="004E05D7"/>
    <w:rsid w:val="004E0B4B"/>
    <w:rsid w:val="004E0EB6"/>
    <w:rsid w:val="004E0F94"/>
    <w:rsid w:val="004E1756"/>
    <w:rsid w:val="004E19FF"/>
    <w:rsid w:val="004E2051"/>
    <w:rsid w:val="004E2674"/>
    <w:rsid w:val="004E403C"/>
    <w:rsid w:val="004E52C2"/>
    <w:rsid w:val="004E5F87"/>
    <w:rsid w:val="004F0064"/>
    <w:rsid w:val="004F0458"/>
    <w:rsid w:val="004F1239"/>
    <w:rsid w:val="004F1912"/>
    <w:rsid w:val="004F2F6A"/>
    <w:rsid w:val="004F3148"/>
    <w:rsid w:val="004F3B82"/>
    <w:rsid w:val="004F4341"/>
    <w:rsid w:val="004F470D"/>
    <w:rsid w:val="004F4816"/>
    <w:rsid w:val="004F4D6D"/>
    <w:rsid w:val="004F51E7"/>
    <w:rsid w:val="004F523A"/>
    <w:rsid w:val="004F52E0"/>
    <w:rsid w:val="004F5D82"/>
    <w:rsid w:val="004F6031"/>
    <w:rsid w:val="004F6CFC"/>
    <w:rsid w:val="004F7358"/>
    <w:rsid w:val="004F76D3"/>
    <w:rsid w:val="004F7D03"/>
    <w:rsid w:val="004F7ED9"/>
    <w:rsid w:val="00500C05"/>
    <w:rsid w:val="00500C65"/>
    <w:rsid w:val="00501BFF"/>
    <w:rsid w:val="005035B7"/>
    <w:rsid w:val="00503755"/>
    <w:rsid w:val="00503793"/>
    <w:rsid w:val="0050394D"/>
    <w:rsid w:val="00504942"/>
    <w:rsid w:val="005077D5"/>
    <w:rsid w:val="00507B02"/>
    <w:rsid w:val="00510B94"/>
    <w:rsid w:val="00510CC9"/>
    <w:rsid w:val="00511FC9"/>
    <w:rsid w:val="005123E1"/>
    <w:rsid w:val="00513D60"/>
    <w:rsid w:val="00514C78"/>
    <w:rsid w:val="005160E6"/>
    <w:rsid w:val="0051642C"/>
    <w:rsid w:val="00516734"/>
    <w:rsid w:val="00517239"/>
    <w:rsid w:val="00517A97"/>
    <w:rsid w:val="00517FAD"/>
    <w:rsid w:val="00520082"/>
    <w:rsid w:val="0052129A"/>
    <w:rsid w:val="005248F6"/>
    <w:rsid w:val="00525184"/>
    <w:rsid w:val="00525BDD"/>
    <w:rsid w:val="00525F93"/>
    <w:rsid w:val="00526116"/>
    <w:rsid w:val="00526293"/>
    <w:rsid w:val="005271AD"/>
    <w:rsid w:val="00527CDC"/>
    <w:rsid w:val="005305A8"/>
    <w:rsid w:val="00531051"/>
    <w:rsid w:val="005318CE"/>
    <w:rsid w:val="00531A5E"/>
    <w:rsid w:val="005352D7"/>
    <w:rsid w:val="00536269"/>
    <w:rsid w:val="005375E3"/>
    <w:rsid w:val="00537AD6"/>
    <w:rsid w:val="005403F6"/>
    <w:rsid w:val="00541573"/>
    <w:rsid w:val="005419E4"/>
    <w:rsid w:val="00542448"/>
    <w:rsid w:val="00542F04"/>
    <w:rsid w:val="00545FE0"/>
    <w:rsid w:val="00547AF5"/>
    <w:rsid w:val="0055037E"/>
    <w:rsid w:val="0055094A"/>
    <w:rsid w:val="005513E0"/>
    <w:rsid w:val="0055259B"/>
    <w:rsid w:val="00553ED3"/>
    <w:rsid w:val="005553EE"/>
    <w:rsid w:val="00555E38"/>
    <w:rsid w:val="005578EB"/>
    <w:rsid w:val="00560E93"/>
    <w:rsid w:val="00560ED4"/>
    <w:rsid w:val="005613E4"/>
    <w:rsid w:val="0056199A"/>
    <w:rsid w:val="00561CEB"/>
    <w:rsid w:val="005620DB"/>
    <w:rsid w:val="0056278D"/>
    <w:rsid w:val="005630AB"/>
    <w:rsid w:val="005638C5"/>
    <w:rsid w:val="00564CFF"/>
    <w:rsid w:val="0056540B"/>
    <w:rsid w:val="00566118"/>
    <w:rsid w:val="0056700E"/>
    <w:rsid w:val="0056723F"/>
    <w:rsid w:val="00570A1A"/>
    <w:rsid w:val="00571432"/>
    <w:rsid w:val="00571C07"/>
    <w:rsid w:val="00572C1A"/>
    <w:rsid w:val="00572E3A"/>
    <w:rsid w:val="0057415D"/>
    <w:rsid w:val="00575112"/>
    <w:rsid w:val="00575495"/>
    <w:rsid w:val="00580C31"/>
    <w:rsid w:val="00580D5C"/>
    <w:rsid w:val="00580DF6"/>
    <w:rsid w:val="00581585"/>
    <w:rsid w:val="0058180E"/>
    <w:rsid w:val="00581976"/>
    <w:rsid w:val="005836C9"/>
    <w:rsid w:val="005838AE"/>
    <w:rsid w:val="00584055"/>
    <w:rsid w:val="00585025"/>
    <w:rsid w:val="00585DF1"/>
    <w:rsid w:val="00585FF1"/>
    <w:rsid w:val="00586120"/>
    <w:rsid w:val="00586348"/>
    <w:rsid w:val="0058711F"/>
    <w:rsid w:val="00587391"/>
    <w:rsid w:val="00587E80"/>
    <w:rsid w:val="005906D0"/>
    <w:rsid w:val="00590C7E"/>
    <w:rsid w:val="005915A1"/>
    <w:rsid w:val="005918D6"/>
    <w:rsid w:val="00591965"/>
    <w:rsid w:val="00591F09"/>
    <w:rsid w:val="00591F1E"/>
    <w:rsid w:val="00592406"/>
    <w:rsid w:val="00592552"/>
    <w:rsid w:val="0059399A"/>
    <w:rsid w:val="00596097"/>
    <w:rsid w:val="00596549"/>
    <w:rsid w:val="005971B6"/>
    <w:rsid w:val="00597570"/>
    <w:rsid w:val="0059764E"/>
    <w:rsid w:val="005A0C83"/>
    <w:rsid w:val="005A1CD2"/>
    <w:rsid w:val="005A2942"/>
    <w:rsid w:val="005A2C9A"/>
    <w:rsid w:val="005A370F"/>
    <w:rsid w:val="005A3B49"/>
    <w:rsid w:val="005A4514"/>
    <w:rsid w:val="005A47D3"/>
    <w:rsid w:val="005A570D"/>
    <w:rsid w:val="005A72BF"/>
    <w:rsid w:val="005A7A61"/>
    <w:rsid w:val="005B066E"/>
    <w:rsid w:val="005B0672"/>
    <w:rsid w:val="005B0A17"/>
    <w:rsid w:val="005B0DFB"/>
    <w:rsid w:val="005B137E"/>
    <w:rsid w:val="005B1887"/>
    <w:rsid w:val="005B1C05"/>
    <w:rsid w:val="005B1EF6"/>
    <w:rsid w:val="005B2135"/>
    <w:rsid w:val="005B2B38"/>
    <w:rsid w:val="005B33E7"/>
    <w:rsid w:val="005B4239"/>
    <w:rsid w:val="005B5788"/>
    <w:rsid w:val="005B57B4"/>
    <w:rsid w:val="005B5998"/>
    <w:rsid w:val="005B5CBB"/>
    <w:rsid w:val="005B6FAD"/>
    <w:rsid w:val="005B7433"/>
    <w:rsid w:val="005B792D"/>
    <w:rsid w:val="005B7A6D"/>
    <w:rsid w:val="005B7BFB"/>
    <w:rsid w:val="005C023E"/>
    <w:rsid w:val="005C055D"/>
    <w:rsid w:val="005C06C5"/>
    <w:rsid w:val="005C0A9F"/>
    <w:rsid w:val="005C0C91"/>
    <w:rsid w:val="005C15FD"/>
    <w:rsid w:val="005C1725"/>
    <w:rsid w:val="005C1B9D"/>
    <w:rsid w:val="005C32AD"/>
    <w:rsid w:val="005C33D5"/>
    <w:rsid w:val="005C4972"/>
    <w:rsid w:val="005C4E5A"/>
    <w:rsid w:val="005C4EEA"/>
    <w:rsid w:val="005C53CA"/>
    <w:rsid w:val="005C5BCE"/>
    <w:rsid w:val="005C7198"/>
    <w:rsid w:val="005C7CEF"/>
    <w:rsid w:val="005D0170"/>
    <w:rsid w:val="005D0452"/>
    <w:rsid w:val="005D2729"/>
    <w:rsid w:val="005D3516"/>
    <w:rsid w:val="005D4E7F"/>
    <w:rsid w:val="005D5D22"/>
    <w:rsid w:val="005D67A3"/>
    <w:rsid w:val="005D69B1"/>
    <w:rsid w:val="005E0910"/>
    <w:rsid w:val="005E2B2C"/>
    <w:rsid w:val="005E3314"/>
    <w:rsid w:val="005E3B8F"/>
    <w:rsid w:val="005E489D"/>
    <w:rsid w:val="005E49E3"/>
    <w:rsid w:val="005E584E"/>
    <w:rsid w:val="005E79BA"/>
    <w:rsid w:val="005F02C8"/>
    <w:rsid w:val="005F2108"/>
    <w:rsid w:val="005F2591"/>
    <w:rsid w:val="005F3C02"/>
    <w:rsid w:val="005F45CD"/>
    <w:rsid w:val="005F4F93"/>
    <w:rsid w:val="005F5346"/>
    <w:rsid w:val="005F5836"/>
    <w:rsid w:val="005F5A58"/>
    <w:rsid w:val="005F5FC6"/>
    <w:rsid w:val="005F60C6"/>
    <w:rsid w:val="005F7762"/>
    <w:rsid w:val="006008D4"/>
    <w:rsid w:val="00601B10"/>
    <w:rsid w:val="006021E4"/>
    <w:rsid w:val="006024C2"/>
    <w:rsid w:val="00602C50"/>
    <w:rsid w:val="00602EBD"/>
    <w:rsid w:val="0060301B"/>
    <w:rsid w:val="00603DBB"/>
    <w:rsid w:val="00604183"/>
    <w:rsid w:val="00610327"/>
    <w:rsid w:val="00611947"/>
    <w:rsid w:val="006130EB"/>
    <w:rsid w:val="00614044"/>
    <w:rsid w:val="00614CD5"/>
    <w:rsid w:val="00615666"/>
    <w:rsid w:val="00615E94"/>
    <w:rsid w:val="006160E5"/>
    <w:rsid w:val="00616237"/>
    <w:rsid w:val="006171C6"/>
    <w:rsid w:val="0062029C"/>
    <w:rsid w:val="006206A0"/>
    <w:rsid w:val="0062073C"/>
    <w:rsid w:val="00620A45"/>
    <w:rsid w:val="00620D0F"/>
    <w:rsid w:val="0062105E"/>
    <w:rsid w:val="00621571"/>
    <w:rsid w:val="0062255B"/>
    <w:rsid w:val="00622BD1"/>
    <w:rsid w:val="00623D9F"/>
    <w:rsid w:val="00624206"/>
    <w:rsid w:val="00624443"/>
    <w:rsid w:val="00625501"/>
    <w:rsid w:val="006259CB"/>
    <w:rsid w:val="00626C57"/>
    <w:rsid w:val="00626D0C"/>
    <w:rsid w:val="00627507"/>
    <w:rsid w:val="00627A82"/>
    <w:rsid w:val="00627C26"/>
    <w:rsid w:val="00632EEE"/>
    <w:rsid w:val="00633305"/>
    <w:rsid w:val="00634C3A"/>
    <w:rsid w:val="00635430"/>
    <w:rsid w:val="0063622A"/>
    <w:rsid w:val="006365A2"/>
    <w:rsid w:val="00636D91"/>
    <w:rsid w:val="00636E32"/>
    <w:rsid w:val="00636F58"/>
    <w:rsid w:val="006372BC"/>
    <w:rsid w:val="006373C1"/>
    <w:rsid w:val="00637FB1"/>
    <w:rsid w:val="0064131F"/>
    <w:rsid w:val="00642C0B"/>
    <w:rsid w:val="00642FB4"/>
    <w:rsid w:val="006434A0"/>
    <w:rsid w:val="00644A7E"/>
    <w:rsid w:val="00645C40"/>
    <w:rsid w:val="00645DD8"/>
    <w:rsid w:val="006479F4"/>
    <w:rsid w:val="00650BA2"/>
    <w:rsid w:val="00650E0A"/>
    <w:rsid w:val="00653942"/>
    <w:rsid w:val="00653C32"/>
    <w:rsid w:val="00653E15"/>
    <w:rsid w:val="006553A6"/>
    <w:rsid w:val="00655FC1"/>
    <w:rsid w:val="0065669A"/>
    <w:rsid w:val="006572D4"/>
    <w:rsid w:val="00657393"/>
    <w:rsid w:val="00657CC9"/>
    <w:rsid w:val="006612F2"/>
    <w:rsid w:val="00661F73"/>
    <w:rsid w:val="00662083"/>
    <w:rsid w:val="0066441A"/>
    <w:rsid w:val="006645BF"/>
    <w:rsid w:val="00664D44"/>
    <w:rsid w:val="006651BB"/>
    <w:rsid w:val="00665265"/>
    <w:rsid w:val="006671D3"/>
    <w:rsid w:val="006671E4"/>
    <w:rsid w:val="00667688"/>
    <w:rsid w:val="00667846"/>
    <w:rsid w:val="0067023E"/>
    <w:rsid w:val="00670BDC"/>
    <w:rsid w:val="00671381"/>
    <w:rsid w:val="00671C80"/>
    <w:rsid w:val="0067304F"/>
    <w:rsid w:val="00673DAA"/>
    <w:rsid w:val="00674208"/>
    <w:rsid w:val="00675370"/>
    <w:rsid w:val="00675578"/>
    <w:rsid w:val="00675CE0"/>
    <w:rsid w:val="00676194"/>
    <w:rsid w:val="0067676F"/>
    <w:rsid w:val="00677738"/>
    <w:rsid w:val="00677B95"/>
    <w:rsid w:val="006809DD"/>
    <w:rsid w:val="00680D6E"/>
    <w:rsid w:val="006813AC"/>
    <w:rsid w:val="006813EC"/>
    <w:rsid w:val="006822BD"/>
    <w:rsid w:val="00682460"/>
    <w:rsid w:val="00682C7B"/>
    <w:rsid w:val="006839C4"/>
    <w:rsid w:val="0068441B"/>
    <w:rsid w:val="0068556D"/>
    <w:rsid w:val="00685796"/>
    <w:rsid w:val="006858E8"/>
    <w:rsid w:val="00686B2E"/>
    <w:rsid w:val="00687020"/>
    <w:rsid w:val="00687261"/>
    <w:rsid w:val="0068782A"/>
    <w:rsid w:val="00690A4D"/>
    <w:rsid w:val="00690A66"/>
    <w:rsid w:val="00690BF6"/>
    <w:rsid w:val="00691940"/>
    <w:rsid w:val="00693232"/>
    <w:rsid w:val="006937AC"/>
    <w:rsid w:val="00694463"/>
    <w:rsid w:val="006944DE"/>
    <w:rsid w:val="00695012"/>
    <w:rsid w:val="006958B6"/>
    <w:rsid w:val="00696542"/>
    <w:rsid w:val="00696622"/>
    <w:rsid w:val="006A04D1"/>
    <w:rsid w:val="006A0A76"/>
    <w:rsid w:val="006A13F5"/>
    <w:rsid w:val="006A391C"/>
    <w:rsid w:val="006A3BC2"/>
    <w:rsid w:val="006A3C73"/>
    <w:rsid w:val="006A3CF8"/>
    <w:rsid w:val="006A45A1"/>
    <w:rsid w:val="006A4B25"/>
    <w:rsid w:val="006A4C77"/>
    <w:rsid w:val="006A5384"/>
    <w:rsid w:val="006A5A7A"/>
    <w:rsid w:val="006A5AED"/>
    <w:rsid w:val="006A5EFF"/>
    <w:rsid w:val="006A6AEE"/>
    <w:rsid w:val="006A7B87"/>
    <w:rsid w:val="006B0182"/>
    <w:rsid w:val="006B16C5"/>
    <w:rsid w:val="006B247A"/>
    <w:rsid w:val="006B56F9"/>
    <w:rsid w:val="006B5CC4"/>
    <w:rsid w:val="006B61D8"/>
    <w:rsid w:val="006B6B8D"/>
    <w:rsid w:val="006B6B8E"/>
    <w:rsid w:val="006B7028"/>
    <w:rsid w:val="006B72ED"/>
    <w:rsid w:val="006B75B4"/>
    <w:rsid w:val="006C14BF"/>
    <w:rsid w:val="006C1C1B"/>
    <w:rsid w:val="006C224E"/>
    <w:rsid w:val="006C3EBE"/>
    <w:rsid w:val="006C427A"/>
    <w:rsid w:val="006C4A74"/>
    <w:rsid w:val="006C4D2D"/>
    <w:rsid w:val="006C4D8D"/>
    <w:rsid w:val="006C54CC"/>
    <w:rsid w:val="006D110C"/>
    <w:rsid w:val="006D13D4"/>
    <w:rsid w:val="006D13E5"/>
    <w:rsid w:val="006D15D4"/>
    <w:rsid w:val="006D203F"/>
    <w:rsid w:val="006D28F6"/>
    <w:rsid w:val="006D3EFE"/>
    <w:rsid w:val="006D411E"/>
    <w:rsid w:val="006D4D0D"/>
    <w:rsid w:val="006D50B0"/>
    <w:rsid w:val="006D55FB"/>
    <w:rsid w:val="006D5759"/>
    <w:rsid w:val="006D5C20"/>
    <w:rsid w:val="006D5CE2"/>
    <w:rsid w:val="006D6C60"/>
    <w:rsid w:val="006D6D5A"/>
    <w:rsid w:val="006D7A19"/>
    <w:rsid w:val="006D7CEF"/>
    <w:rsid w:val="006D7EF4"/>
    <w:rsid w:val="006E09DF"/>
    <w:rsid w:val="006E11E0"/>
    <w:rsid w:val="006E15C2"/>
    <w:rsid w:val="006E1837"/>
    <w:rsid w:val="006E220A"/>
    <w:rsid w:val="006E285F"/>
    <w:rsid w:val="006E519B"/>
    <w:rsid w:val="006E56B3"/>
    <w:rsid w:val="006E68F0"/>
    <w:rsid w:val="006E6A8E"/>
    <w:rsid w:val="006F2394"/>
    <w:rsid w:val="006F33DD"/>
    <w:rsid w:val="006F39F6"/>
    <w:rsid w:val="006F4695"/>
    <w:rsid w:val="006F47CC"/>
    <w:rsid w:val="006F4CE0"/>
    <w:rsid w:val="006F509B"/>
    <w:rsid w:val="006F5C3F"/>
    <w:rsid w:val="006F6159"/>
    <w:rsid w:val="006F77E0"/>
    <w:rsid w:val="00701311"/>
    <w:rsid w:val="00702707"/>
    <w:rsid w:val="00702AA4"/>
    <w:rsid w:val="0070345A"/>
    <w:rsid w:val="00704604"/>
    <w:rsid w:val="00704CDA"/>
    <w:rsid w:val="00705FA9"/>
    <w:rsid w:val="00707057"/>
    <w:rsid w:val="00707EC9"/>
    <w:rsid w:val="00707F82"/>
    <w:rsid w:val="00711F71"/>
    <w:rsid w:val="007125F5"/>
    <w:rsid w:val="00713A3F"/>
    <w:rsid w:val="00713B00"/>
    <w:rsid w:val="00714102"/>
    <w:rsid w:val="007144C2"/>
    <w:rsid w:val="00715F3A"/>
    <w:rsid w:val="00716285"/>
    <w:rsid w:val="007165A7"/>
    <w:rsid w:val="007205CD"/>
    <w:rsid w:val="00720C70"/>
    <w:rsid w:val="00720E55"/>
    <w:rsid w:val="00721894"/>
    <w:rsid w:val="007228AC"/>
    <w:rsid w:val="00722FD4"/>
    <w:rsid w:val="0072348D"/>
    <w:rsid w:val="00723AFF"/>
    <w:rsid w:val="00723E77"/>
    <w:rsid w:val="00724382"/>
    <w:rsid w:val="00724C03"/>
    <w:rsid w:val="00726183"/>
    <w:rsid w:val="0072643E"/>
    <w:rsid w:val="00726D25"/>
    <w:rsid w:val="00730BF7"/>
    <w:rsid w:val="0073233B"/>
    <w:rsid w:val="0073268A"/>
    <w:rsid w:val="00732F47"/>
    <w:rsid w:val="00733A6B"/>
    <w:rsid w:val="007343E5"/>
    <w:rsid w:val="007346F6"/>
    <w:rsid w:val="007349BF"/>
    <w:rsid w:val="00735C55"/>
    <w:rsid w:val="00735F3E"/>
    <w:rsid w:val="00736C64"/>
    <w:rsid w:val="007370BE"/>
    <w:rsid w:val="00737368"/>
    <w:rsid w:val="00737501"/>
    <w:rsid w:val="0074000E"/>
    <w:rsid w:val="00740046"/>
    <w:rsid w:val="007402FE"/>
    <w:rsid w:val="007407DB"/>
    <w:rsid w:val="00740AAD"/>
    <w:rsid w:val="00740E63"/>
    <w:rsid w:val="007416D4"/>
    <w:rsid w:val="00742655"/>
    <w:rsid w:val="00742A51"/>
    <w:rsid w:val="00742F1D"/>
    <w:rsid w:val="00743237"/>
    <w:rsid w:val="0074487A"/>
    <w:rsid w:val="00744BB5"/>
    <w:rsid w:val="00744E0B"/>
    <w:rsid w:val="00744F95"/>
    <w:rsid w:val="00745418"/>
    <w:rsid w:val="0074577F"/>
    <w:rsid w:val="00745921"/>
    <w:rsid w:val="00746495"/>
    <w:rsid w:val="007477E2"/>
    <w:rsid w:val="00747A82"/>
    <w:rsid w:val="00750DDF"/>
    <w:rsid w:val="00750E82"/>
    <w:rsid w:val="00752F1B"/>
    <w:rsid w:val="00753127"/>
    <w:rsid w:val="00754074"/>
    <w:rsid w:val="00754124"/>
    <w:rsid w:val="007543CF"/>
    <w:rsid w:val="0075483D"/>
    <w:rsid w:val="00754853"/>
    <w:rsid w:val="007555D7"/>
    <w:rsid w:val="00755F61"/>
    <w:rsid w:val="00756370"/>
    <w:rsid w:val="007579AB"/>
    <w:rsid w:val="00757C04"/>
    <w:rsid w:val="00760196"/>
    <w:rsid w:val="00760489"/>
    <w:rsid w:val="00760559"/>
    <w:rsid w:val="00760FFB"/>
    <w:rsid w:val="007615DB"/>
    <w:rsid w:val="00761B51"/>
    <w:rsid w:val="00761FE9"/>
    <w:rsid w:val="00762BCE"/>
    <w:rsid w:val="0076529C"/>
    <w:rsid w:val="0076564E"/>
    <w:rsid w:val="007660A9"/>
    <w:rsid w:val="0076658C"/>
    <w:rsid w:val="00766E50"/>
    <w:rsid w:val="0076730B"/>
    <w:rsid w:val="007713B7"/>
    <w:rsid w:val="00771531"/>
    <w:rsid w:val="00772235"/>
    <w:rsid w:val="007731E5"/>
    <w:rsid w:val="00773987"/>
    <w:rsid w:val="007742F6"/>
    <w:rsid w:val="00774981"/>
    <w:rsid w:val="00774EBA"/>
    <w:rsid w:val="00775CAC"/>
    <w:rsid w:val="007761DD"/>
    <w:rsid w:val="00776853"/>
    <w:rsid w:val="00777D7F"/>
    <w:rsid w:val="00780C2A"/>
    <w:rsid w:val="00781030"/>
    <w:rsid w:val="007812D1"/>
    <w:rsid w:val="00781531"/>
    <w:rsid w:val="00783792"/>
    <w:rsid w:val="0078590B"/>
    <w:rsid w:val="00786D7C"/>
    <w:rsid w:val="0078785E"/>
    <w:rsid w:val="0079022E"/>
    <w:rsid w:val="007908D6"/>
    <w:rsid w:val="00791092"/>
    <w:rsid w:val="00793FA4"/>
    <w:rsid w:val="007957C2"/>
    <w:rsid w:val="00795C03"/>
    <w:rsid w:val="00795C69"/>
    <w:rsid w:val="00796222"/>
    <w:rsid w:val="007965FC"/>
    <w:rsid w:val="007967CB"/>
    <w:rsid w:val="00797152"/>
    <w:rsid w:val="00797B00"/>
    <w:rsid w:val="007A0259"/>
    <w:rsid w:val="007A0297"/>
    <w:rsid w:val="007A05B2"/>
    <w:rsid w:val="007A10B7"/>
    <w:rsid w:val="007A1DF8"/>
    <w:rsid w:val="007A231C"/>
    <w:rsid w:val="007A295F"/>
    <w:rsid w:val="007A2B0D"/>
    <w:rsid w:val="007A308B"/>
    <w:rsid w:val="007A31FA"/>
    <w:rsid w:val="007A3405"/>
    <w:rsid w:val="007A353C"/>
    <w:rsid w:val="007A40A5"/>
    <w:rsid w:val="007A4432"/>
    <w:rsid w:val="007A4514"/>
    <w:rsid w:val="007A46FB"/>
    <w:rsid w:val="007A4B1B"/>
    <w:rsid w:val="007A52E3"/>
    <w:rsid w:val="007A5A9C"/>
    <w:rsid w:val="007A6637"/>
    <w:rsid w:val="007A6E3B"/>
    <w:rsid w:val="007A6EFD"/>
    <w:rsid w:val="007A7018"/>
    <w:rsid w:val="007B06FC"/>
    <w:rsid w:val="007B07F2"/>
    <w:rsid w:val="007B080B"/>
    <w:rsid w:val="007B37B3"/>
    <w:rsid w:val="007B3D06"/>
    <w:rsid w:val="007B4B87"/>
    <w:rsid w:val="007B4E0B"/>
    <w:rsid w:val="007B5744"/>
    <w:rsid w:val="007B6709"/>
    <w:rsid w:val="007B6870"/>
    <w:rsid w:val="007B6EA9"/>
    <w:rsid w:val="007B71E1"/>
    <w:rsid w:val="007B7359"/>
    <w:rsid w:val="007B7AC4"/>
    <w:rsid w:val="007C0F70"/>
    <w:rsid w:val="007C1452"/>
    <w:rsid w:val="007C218C"/>
    <w:rsid w:val="007C249C"/>
    <w:rsid w:val="007C48BE"/>
    <w:rsid w:val="007C4C0E"/>
    <w:rsid w:val="007C55A5"/>
    <w:rsid w:val="007C5797"/>
    <w:rsid w:val="007C61E6"/>
    <w:rsid w:val="007C6672"/>
    <w:rsid w:val="007C7153"/>
    <w:rsid w:val="007D0FC0"/>
    <w:rsid w:val="007D12D6"/>
    <w:rsid w:val="007D194C"/>
    <w:rsid w:val="007D19C8"/>
    <w:rsid w:val="007D3971"/>
    <w:rsid w:val="007D4530"/>
    <w:rsid w:val="007D49A5"/>
    <w:rsid w:val="007D5DFA"/>
    <w:rsid w:val="007D6CF3"/>
    <w:rsid w:val="007D746E"/>
    <w:rsid w:val="007D7DCC"/>
    <w:rsid w:val="007E0177"/>
    <w:rsid w:val="007E02C8"/>
    <w:rsid w:val="007E1155"/>
    <w:rsid w:val="007E1C27"/>
    <w:rsid w:val="007E2C63"/>
    <w:rsid w:val="007E2CB0"/>
    <w:rsid w:val="007E3130"/>
    <w:rsid w:val="007E4734"/>
    <w:rsid w:val="007E49D9"/>
    <w:rsid w:val="007E5178"/>
    <w:rsid w:val="007E53C8"/>
    <w:rsid w:val="007E5AC1"/>
    <w:rsid w:val="007E5AFF"/>
    <w:rsid w:val="007E7519"/>
    <w:rsid w:val="007E79F6"/>
    <w:rsid w:val="007E7B7E"/>
    <w:rsid w:val="007F1741"/>
    <w:rsid w:val="007F226C"/>
    <w:rsid w:val="007F2EBE"/>
    <w:rsid w:val="007F2F23"/>
    <w:rsid w:val="007F301C"/>
    <w:rsid w:val="007F3E54"/>
    <w:rsid w:val="007F44DA"/>
    <w:rsid w:val="007F6B99"/>
    <w:rsid w:val="007F750B"/>
    <w:rsid w:val="00800AD1"/>
    <w:rsid w:val="00800C9F"/>
    <w:rsid w:val="00800D04"/>
    <w:rsid w:val="00801696"/>
    <w:rsid w:val="00801DF4"/>
    <w:rsid w:val="008020F2"/>
    <w:rsid w:val="008026F6"/>
    <w:rsid w:val="00804248"/>
    <w:rsid w:val="00804358"/>
    <w:rsid w:val="00804551"/>
    <w:rsid w:val="00804863"/>
    <w:rsid w:val="00805B81"/>
    <w:rsid w:val="008064CA"/>
    <w:rsid w:val="00806E73"/>
    <w:rsid w:val="00811476"/>
    <w:rsid w:val="00811B0C"/>
    <w:rsid w:val="008122F0"/>
    <w:rsid w:val="00812391"/>
    <w:rsid w:val="00814778"/>
    <w:rsid w:val="008148D3"/>
    <w:rsid w:val="00814D8B"/>
    <w:rsid w:val="008167A2"/>
    <w:rsid w:val="00816C1D"/>
    <w:rsid w:val="00817897"/>
    <w:rsid w:val="00817F03"/>
    <w:rsid w:val="008203EA"/>
    <w:rsid w:val="00820722"/>
    <w:rsid w:val="00822817"/>
    <w:rsid w:val="00822873"/>
    <w:rsid w:val="0082327E"/>
    <w:rsid w:val="0082426A"/>
    <w:rsid w:val="0082595F"/>
    <w:rsid w:val="00826173"/>
    <w:rsid w:val="008274FF"/>
    <w:rsid w:val="00827B9C"/>
    <w:rsid w:val="00831A57"/>
    <w:rsid w:val="0083203F"/>
    <w:rsid w:val="00832C9B"/>
    <w:rsid w:val="008331D5"/>
    <w:rsid w:val="0083437E"/>
    <w:rsid w:val="00834789"/>
    <w:rsid w:val="00835574"/>
    <w:rsid w:val="00835DEC"/>
    <w:rsid w:val="00836EBF"/>
    <w:rsid w:val="00842009"/>
    <w:rsid w:val="00842B64"/>
    <w:rsid w:val="00843054"/>
    <w:rsid w:val="008435E5"/>
    <w:rsid w:val="008439A1"/>
    <w:rsid w:val="0084430A"/>
    <w:rsid w:val="00845B52"/>
    <w:rsid w:val="00846170"/>
    <w:rsid w:val="00846AA4"/>
    <w:rsid w:val="008477D1"/>
    <w:rsid w:val="00850BBD"/>
    <w:rsid w:val="00850CDD"/>
    <w:rsid w:val="00850F59"/>
    <w:rsid w:val="00853A44"/>
    <w:rsid w:val="00853C00"/>
    <w:rsid w:val="00853E6B"/>
    <w:rsid w:val="00853E90"/>
    <w:rsid w:val="00854ADE"/>
    <w:rsid w:val="00855B87"/>
    <w:rsid w:val="0085601A"/>
    <w:rsid w:val="008562DE"/>
    <w:rsid w:val="00857025"/>
    <w:rsid w:val="00857333"/>
    <w:rsid w:val="0086012C"/>
    <w:rsid w:val="008616C7"/>
    <w:rsid w:val="0086288F"/>
    <w:rsid w:val="00863666"/>
    <w:rsid w:val="00863F27"/>
    <w:rsid w:val="00863F53"/>
    <w:rsid w:val="0086555E"/>
    <w:rsid w:val="00865ED7"/>
    <w:rsid w:val="0086677B"/>
    <w:rsid w:val="00866A14"/>
    <w:rsid w:val="0086765B"/>
    <w:rsid w:val="00867872"/>
    <w:rsid w:val="00867C69"/>
    <w:rsid w:val="0087020D"/>
    <w:rsid w:val="0087174D"/>
    <w:rsid w:val="00871F30"/>
    <w:rsid w:val="00872322"/>
    <w:rsid w:val="00872C8D"/>
    <w:rsid w:val="008734BF"/>
    <w:rsid w:val="00873637"/>
    <w:rsid w:val="00874570"/>
    <w:rsid w:val="00874FC7"/>
    <w:rsid w:val="00875416"/>
    <w:rsid w:val="008757AA"/>
    <w:rsid w:val="00875B35"/>
    <w:rsid w:val="00876641"/>
    <w:rsid w:val="008766B2"/>
    <w:rsid w:val="00876D30"/>
    <w:rsid w:val="00880FBA"/>
    <w:rsid w:val="008810FB"/>
    <w:rsid w:val="00881448"/>
    <w:rsid w:val="00881FF0"/>
    <w:rsid w:val="00882C88"/>
    <w:rsid w:val="00883F81"/>
    <w:rsid w:val="0088561E"/>
    <w:rsid w:val="00887A7A"/>
    <w:rsid w:val="00887CD4"/>
    <w:rsid w:val="00887DFA"/>
    <w:rsid w:val="008901A1"/>
    <w:rsid w:val="00890547"/>
    <w:rsid w:val="00890724"/>
    <w:rsid w:val="00890912"/>
    <w:rsid w:val="00890DC4"/>
    <w:rsid w:val="008910C1"/>
    <w:rsid w:val="00891B3D"/>
    <w:rsid w:val="00891B44"/>
    <w:rsid w:val="00891D6D"/>
    <w:rsid w:val="00891F11"/>
    <w:rsid w:val="00892CEA"/>
    <w:rsid w:val="00893013"/>
    <w:rsid w:val="008937AD"/>
    <w:rsid w:val="00893FF8"/>
    <w:rsid w:val="00893FF9"/>
    <w:rsid w:val="008945D5"/>
    <w:rsid w:val="00894CC4"/>
    <w:rsid w:val="00895643"/>
    <w:rsid w:val="00896605"/>
    <w:rsid w:val="008967AB"/>
    <w:rsid w:val="00897050"/>
    <w:rsid w:val="00897594"/>
    <w:rsid w:val="008A0277"/>
    <w:rsid w:val="008A1634"/>
    <w:rsid w:val="008A1F7E"/>
    <w:rsid w:val="008A2D72"/>
    <w:rsid w:val="008A3AB5"/>
    <w:rsid w:val="008A4021"/>
    <w:rsid w:val="008A4A9D"/>
    <w:rsid w:val="008A558D"/>
    <w:rsid w:val="008A610C"/>
    <w:rsid w:val="008A688C"/>
    <w:rsid w:val="008A694C"/>
    <w:rsid w:val="008A75ED"/>
    <w:rsid w:val="008A7C0A"/>
    <w:rsid w:val="008A7C5E"/>
    <w:rsid w:val="008B11E3"/>
    <w:rsid w:val="008B12A0"/>
    <w:rsid w:val="008B1634"/>
    <w:rsid w:val="008B2802"/>
    <w:rsid w:val="008B40BC"/>
    <w:rsid w:val="008B4A76"/>
    <w:rsid w:val="008B5463"/>
    <w:rsid w:val="008B67F8"/>
    <w:rsid w:val="008B7450"/>
    <w:rsid w:val="008C09FC"/>
    <w:rsid w:val="008C102D"/>
    <w:rsid w:val="008C1BF4"/>
    <w:rsid w:val="008C2465"/>
    <w:rsid w:val="008C27BF"/>
    <w:rsid w:val="008C2D4C"/>
    <w:rsid w:val="008C3A16"/>
    <w:rsid w:val="008C41C8"/>
    <w:rsid w:val="008C4259"/>
    <w:rsid w:val="008C4F27"/>
    <w:rsid w:val="008C6703"/>
    <w:rsid w:val="008C7936"/>
    <w:rsid w:val="008C7F4B"/>
    <w:rsid w:val="008D43CD"/>
    <w:rsid w:val="008D47C4"/>
    <w:rsid w:val="008D47DD"/>
    <w:rsid w:val="008D4CC3"/>
    <w:rsid w:val="008D4E2A"/>
    <w:rsid w:val="008D6C3E"/>
    <w:rsid w:val="008D7C87"/>
    <w:rsid w:val="008E01E8"/>
    <w:rsid w:val="008E0E3F"/>
    <w:rsid w:val="008E24C0"/>
    <w:rsid w:val="008E2866"/>
    <w:rsid w:val="008E2E65"/>
    <w:rsid w:val="008E3904"/>
    <w:rsid w:val="008E3AF4"/>
    <w:rsid w:val="008E5CB4"/>
    <w:rsid w:val="008E5DE8"/>
    <w:rsid w:val="008E636D"/>
    <w:rsid w:val="008E719F"/>
    <w:rsid w:val="008E7306"/>
    <w:rsid w:val="008F01AD"/>
    <w:rsid w:val="008F06CF"/>
    <w:rsid w:val="008F1379"/>
    <w:rsid w:val="008F18D8"/>
    <w:rsid w:val="008F30B5"/>
    <w:rsid w:val="008F329F"/>
    <w:rsid w:val="008F415A"/>
    <w:rsid w:val="008F4203"/>
    <w:rsid w:val="008F4C36"/>
    <w:rsid w:val="008F4C55"/>
    <w:rsid w:val="008F6140"/>
    <w:rsid w:val="008F637D"/>
    <w:rsid w:val="008F69CA"/>
    <w:rsid w:val="008F7C1C"/>
    <w:rsid w:val="00900826"/>
    <w:rsid w:val="00902230"/>
    <w:rsid w:val="00902B17"/>
    <w:rsid w:val="00903398"/>
    <w:rsid w:val="00903ED9"/>
    <w:rsid w:val="00905C21"/>
    <w:rsid w:val="009066A4"/>
    <w:rsid w:val="009076DD"/>
    <w:rsid w:val="00907A8A"/>
    <w:rsid w:val="00907AC5"/>
    <w:rsid w:val="009103D0"/>
    <w:rsid w:val="00910940"/>
    <w:rsid w:val="00910F7E"/>
    <w:rsid w:val="0091221D"/>
    <w:rsid w:val="00912354"/>
    <w:rsid w:val="00912AFB"/>
    <w:rsid w:val="009140EE"/>
    <w:rsid w:val="009145BE"/>
    <w:rsid w:val="00914795"/>
    <w:rsid w:val="00914943"/>
    <w:rsid w:val="009158EB"/>
    <w:rsid w:val="00915B89"/>
    <w:rsid w:val="00916684"/>
    <w:rsid w:val="009166B5"/>
    <w:rsid w:val="009169A5"/>
    <w:rsid w:val="009175DE"/>
    <w:rsid w:val="009200DB"/>
    <w:rsid w:val="0092049C"/>
    <w:rsid w:val="00921909"/>
    <w:rsid w:val="00921B7E"/>
    <w:rsid w:val="009228AC"/>
    <w:rsid w:val="009254A8"/>
    <w:rsid w:val="009255EE"/>
    <w:rsid w:val="00925AC7"/>
    <w:rsid w:val="009269CB"/>
    <w:rsid w:val="00926A6A"/>
    <w:rsid w:val="009275E8"/>
    <w:rsid w:val="00927771"/>
    <w:rsid w:val="009278C6"/>
    <w:rsid w:val="00930AAF"/>
    <w:rsid w:val="00930C70"/>
    <w:rsid w:val="00930C9B"/>
    <w:rsid w:val="00931E9A"/>
    <w:rsid w:val="00932DCF"/>
    <w:rsid w:val="00932EF2"/>
    <w:rsid w:val="009330A9"/>
    <w:rsid w:val="0093361C"/>
    <w:rsid w:val="0093399F"/>
    <w:rsid w:val="00934542"/>
    <w:rsid w:val="0093461F"/>
    <w:rsid w:val="009350AF"/>
    <w:rsid w:val="00936459"/>
    <w:rsid w:val="00936908"/>
    <w:rsid w:val="00937249"/>
    <w:rsid w:val="0094130D"/>
    <w:rsid w:val="00941677"/>
    <w:rsid w:val="00941E45"/>
    <w:rsid w:val="0094236F"/>
    <w:rsid w:val="009429D2"/>
    <w:rsid w:val="00942D82"/>
    <w:rsid w:val="00942DC0"/>
    <w:rsid w:val="009439CB"/>
    <w:rsid w:val="00943C96"/>
    <w:rsid w:val="009444FC"/>
    <w:rsid w:val="00945BD4"/>
    <w:rsid w:val="00945DE8"/>
    <w:rsid w:val="0094634C"/>
    <w:rsid w:val="009475D6"/>
    <w:rsid w:val="009476B5"/>
    <w:rsid w:val="00947A29"/>
    <w:rsid w:val="0095032D"/>
    <w:rsid w:val="00950AEC"/>
    <w:rsid w:val="00951766"/>
    <w:rsid w:val="00952401"/>
    <w:rsid w:val="009530C2"/>
    <w:rsid w:val="009532EA"/>
    <w:rsid w:val="0095345F"/>
    <w:rsid w:val="009542D1"/>
    <w:rsid w:val="00954738"/>
    <w:rsid w:val="009551F5"/>
    <w:rsid w:val="00955614"/>
    <w:rsid w:val="00955892"/>
    <w:rsid w:val="009558F6"/>
    <w:rsid w:val="00956DC2"/>
    <w:rsid w:val="00956F4E"/>
    <w:rsid w:val="0095789A"/>
    <w:rsid w:val="00957DDD"/>
    <w:rsid w:val="0096059F"/>
    <w:rsid w:val="00961D5A"/>
    <w:rsid w:val="00962A2C"/>
    <w:rsid w:val="009630CC"/>
    <w:rsid w:val="00963673"/>
    <w:rsid w:val="00963FEE"/>
    <w:rsid w:val="00964412"/>
    <w:rsid w:val="00964CC3"/>
    <w:rsid w:val="00965C7D"/>
    <w:rsid w:val="00965DF8"/>
    <w:rsid w:val="00966308"/>
    <w:rsid w:val="00966F67"/>
    <w:rsid w:val="00967CF0"/>
    <w:rsid w:val="00970A43"/>
    <w:rsid w:val="00970BFD"/>
    <w:rsid w:val="009711D4"/>
    <w:rsid w:val="0097122A"/>
    <w:rsid w:val="009735E8"/>
    <w:rsid w:val="00973636"/>
    <w:rsid w:val="00973E34"/>
    <w:rsid w:val="009740AB"/>
    <w:rsid w:val="009740DB"/>
    <w:rsid w:val="0097528F"/>
    <w:rsid w:val="0097565D"/>
    <w:rsid w:val="00976C86"/>
    <w:rsid w:val="009775FB"/>
    <w:rsid w:val="00980F3E"/>
    <w:rsid w:val="00981372"/>
    <w:rsid w:val="0098233E"/>
    <w:rsid w:val="00983E59"/>
    <w:rsid w:val="00984B3B"/>
    <w:rsid w:val="00984EDE"/>
    <w:rsid w:val="00984F4E"/>
    <w:rsid w:val="00985469"/>
    <w:rsid w:val="0098581C"/>
    <w:rsid w:val="00985862"/>
    <w:rsid w:val="0098717B"/>
    <w:rsid w:val="009872B9"/>
    <w:rsid w:val="00987529"/>
    <w:rsid w:val="009903E0"/>
    <w:rsid w:val="009909F7"/>
    <w:rsid w:val="00992BF2"/>
    <w:rsid w:val="00992EAF"/>
    <w:rsid w:val="0099316C"/>
    <w:rsid w:val="009934C9"/>
    <w:rsid w:val="00993E2A"/>
    <w:rsid w:val="00994DB8"/>
    <w:rsid w:val="009955D6"/>
    <w:rsid w:val="00996D69"/>
    <w:rsid w:val="00996DE8"/>
    <w:rsid w:val="009A0D42"/>
    <w:rsid w:val="009A1422"/>
    <w:rsid w:val="009A1656"/>
    <w:rsid w:val="009A1DBD"/>
    <w:rsid w:val="009A2118"/>
    <w:rsid w:val="009A2EB7"/>
    <w:rsid w:val="009A3481"/>
    <w:rsid w:val="009A36CF"/>
    <w:rsid w:val="009A4056"/>
    <w:rsid w:val="009A4A2B"/>
    <w:rsid w:val="009A55C3"/>
    <w:rsid w:val="009A6600"/>
    <w:rsid w:val="009A68DE"/>
    <w:rsid w:val="009A6EB3"/>
    <w:rsid w:val="009A7ADB"/>
    <w:rsid w:val="009A7BD3"/>
    <w:rsid w:val="009B0D99"/>
    <w:rsid w:val="009B120C"/>
    <w:rsid w:val="009B2D18"/>
    <w:rsid w:val="009B3AB8"/>
    <w:rsid w:val="009B41EB"/>
    <w:rsid w:val="009B4E93"/>
    <w:rsid w:val="009B63E5"/>
    <w:rsid w:val="009B6C45"/>
    <w:rsid w:val="009C1600"/>
    <w:rsid w:val="009C1EFF"/>
    <w:rsid w:val="009C1F67"/>
    <w:rsid w:val="009C3765"/>
    <w:rsid w:val="009C4375"/>
    <w:rsid w:val="009C47EF"/>
    <w:rsid w:val="009C492D"/>
    <w:rsid w:val="009C4C4C"/>
    <w:rsid w:val="009C5922"/>
    <w:rsid w:val="009C5FC6"/>
    <w:rsid w:val="009C6DD1"/>
    <w:rsid w:val="009C72C3"/>
    <w:rsid w:val="009C72E5"/>
    <w:rsid w:val="009C7E2F"/>
    <w:rsid w:val="009D1114"/>
    <w:rsid w:val="009D1DF6"/>
    <w:rsid w:val="009D2FD8"/>
    <w:rsid w:val="009D3AC5"/>
    <w:rsid w:val="009D3F45"/>
    <w:rsid w:val="009D42C7"/>
    <w:rsid w:val="009D48F8"/>
    <w:rsid w:val="009D4E04"/>
    <w:rsid w:val="009D4FBB"/>
    <w:rsid w:val="009D6F1F"/>
    <w:rsid w:val="009D7127"/>
    <w:rsid w:val="009D744A"/>
    <w:rsid w:val="009E0398"/>
    <w:rsid w:val="009E07EC"/>
    <w:rsid w:val="009E1348"/>
    <w:rsid w:val="009E34D7"/>
    <w:rsid w:val="009E40E3"/>
    <w:rsid w:val="009E43D6"/>
    <w:rsid w:val="009E522D"/>
    <w:rsid w:val="009E540B"/>
    <w:rsid w:val="009E7D78"/>
    <w:rsid w:val="009F14BA"/>
    <w:rsid w:val="009F18AF"/>
    <w:rsid w:val="009F328D"/>
    <w:rsid w:val="009F328F"/>
    <w:rsid w:val="009F3D39"/>
    <w:rsid w:val="009F3D58"/>
    <w:rsid w:val="009F43A8"/>
    <w:rsid w:val="009F569F"/>
    <w:rsid w:val="009F5D53"/>
    <w:rsid w:val="009F6369"/>
    <w:rsid w:val="009F678C"/>
    <w:rsid w:val="009F6CC9"/>
    <w:rsid w:val="009F7079"/>
    <w:rsid w:val="009F792A"/>
    <w:rsid w:val="009F7EE5"/>
    <w:rsid w:val="00A02CE2"/>
    <w:rsid w:val="00A02E3F"/>
    <w:rsid w:val="00A03C7D"/>
    <w:rsid w:val="00A0425B"/>
    <w:rsid w:val="00A042F0"/>
    <w:rsid w:val="00A049AF"/>
    <w:rsid w:val="00A077FF"/>
    <w:rsid w:val="00A07F86"/>
    <w:rsid w:val="00A11C49"/>
    <w:rsid w:val="00A11FC6"/>
    <w:rsid w:val="00A1242F"/>
    <w:rsid w:val="00A13D0B"/>
    <w:rsid w:val="00A13DE5"/>
    <w:rsid w:val="00A14055"/>
    <w:rsid w:val="00A14606"/>
    <w:rsid w:val="00A15F2F"/>
    <w:rsid w:val="00A173A2"/>
    <w:rsid w:val="00A1750A"/>
    <w:rsid w:val="00A20593"/>
    <w:rsid w:val="00A205E8"/>
    <w:rsid w:val="00A20691"/>
    <w:rsid w:val="00A2116F"/>
    <w:rsid w:val="00A21D63"/>
    <w:rsid w:val="00A22A05"/>
    <w:rsid w:val="00A23793"/>
    <w:rsid w:val="00A23BF5"/>
    <w:rsid w:val="00A244EC"/>
    <w:rsid w:val="00A24C50"/>
    <w:rsid w:val="00A2628F"/>
    <w:rsid w:val="00A27F7C"/>
    <w:rsid w:val="00A3011F"/>
    <w:rsid w:val="00A317F4"/>
    <w:rsid w:val="00A32D1B"/>
    <w:rsid w:val="00A355AE"/>
    <w:rsid w:val="00A35FE3"/>
    <w:rsid w:val="00A36E55"/>
    <w:rsid w:val="00A373A7"/>
    <w:rsid w:val="00A373F9"/>
    <w:rsid w:val="00A3792F"/>
    <w:rsid w:val="00A40964"/>
    <w:rsid w:val="00A40AAB"/>
    <w:rsid w:val="00A41159"/>
    <w:rsid w:val="00A422CB"/>
    <w:rsid w:val="00A43859"/>
    <w:rsid w:val="00A44B98"/>
    <w:rsid w:val="00A45966"/>
    <w:rsid w:val="00A460D4"/>
    <w:rsid w:val="00A46D99"/>
    <w:rsid w:val="00A4728B"/>
    <w:rsid w:val="00A47562"/>
    <w:rsid w:val="00A5004C"/>
    <w:rsid w:val="00A50AC6"/>
    <w:rsid w:val="00A51ED4"/>
    <w:rsid w:val="00A5237F"/>
    <w:rsid w:val="00A52ABB"/>
    <w:rsid w:val="00A53674"/>
    <w:rsid w:val="00A54A10"/>
    <w:rsid w:val="00A56A86"/>
    <w:rsid w:val="00A57065"/>
    <w:rsid w:val="00A579FF"/>
    <w:rsid w:val="00A57B50"/>
    <w:rsid w:val="00A57F9F"/>
    <w:rsid w:val="00A6065B"/>
    <w:rsid w:val="00A61670"/>
    <w:rsid w:val="00A617A5"/>
    <w:rsid w:val="00A62839"/>
    <w:rsid w:val="00A62CAD"/>
    <w:rsid w:val="00A63930"/>
    <w:rsid w:val="00A63BFD"/>
    <w:rsid w:val="00A640CC"/>
    <w:rsid w:val="00A6437A"/>
    <w:rsid w:val="00A65671"/>
    <w:rsid w:val="00A65A9D"/>
    <w:rsid w:val="00A66971"/>
    <w:rsid w:val="00A671E2"/>
    <w:rsid w:val="00A67761"/>
    <w:rsid w:val="00A67A88"/>
    <w:rsid w:val="00A71912"/>
    <w:rsid w:val="00A71C48"/>
    <w:rsid w:val="00A71D35"/>
    <w:rsid w:val="00A7244D"/>
    <w:rsid w:val="00A73CB5"/>
    <w:rsid w:val="00A744EA"/>
    <w:rsid w:val="00A748F1"/>
    <w:rsid w:val="00A74CE4"/>
    <w:rsid w:val="00A75C86"/>
    <w:rsid w:val="00A766C4"/>
    <w:rsid w:val="00A76767"/>
    <w:rsid w:val="00A76DF1"/>
    <w:rsid w:val="00A76E98"/>
    <w:rsid w:val="00A771DE"/>
    <w:rsid w:val="00A77588"/>
    <w:rsid w:val="00A80697"/>
    <w:rsid w:val="00A80FB7"/>
    <w:rsid w:val="00A815D8"/>
    <w:rsid w:val="00A81828"/>
    <w:rsid w:val="00A81E05"/>
    <w:rsid w:val="00A8200B"/>
    <w:rsid w:val="00A823C5"/>
    <w:rsid w:val="00A83868"/>
    <w:rsid w:val="00A838A2"/>
    <w:rsid w:val="00A84522"/>
    <w:rsid w:val="00A8585D"/>
    <w:rsid w:val="00A860B7"/>
    <w:rsid w:val="00A86365"/>
    <w:rsid w:val="00A86635"/>
    <w:rsid w:val="00A86C53"/>
    <w:rsid w:val="00A90100"/>
    <w:rsid w:val="00A9034C"/>
    <w:rsid w:val="00A90FCC"/>
    <w:rsid w:val="00A9143B"/>
    <w:rsid w:val="00A91FB5"/>
    <w:rsid w:val="00A920FD"/>
    <w:rsid w:val="00A94445"/>
    <w:rsid w:val="00A94EA5"/>
    <w:rsid w:val="00A959F9"/>
    <w:rsid w:val="00A95CE9"/>
    <w:rsid w:val="00A960A8"/>
    <w:rsid w:val="00A96F59"/>
    <w:rsid w:val="00A9714E"/>
    <w:rsid w:val="00A97839"/>
    <w:rsid w:val="00A97C3E"/>
    <w:rsid w:val="00AA2073"/>
    <w:rsid w:val="00AA2A73"/>
    <w:rsid w:val="00AA2C9B"/>
    <w:rsid w:val="00AA2FA7"/>
    <w:rsid w:val="00AA3F40"/>
    <w:rsid w:val="00AA4550"/>
    <w:rsid w:val="00AA51BA"/>
    <w:rsid w:val="00AA52AA"/>
    <w:rsid w:val="00AA5FBE"/>
    <w:rsid w:val="00AA6FD5"/>
    <w:rsid w:val="00AA7304"/>
    <w:rsid w:val="00AA78F2"/>
    <w:rsid w:val="00AB0425"/>
    <w:rsid w:val="00AB21FE"/>
    <w:rsid w:val="00AB26A1"/>
    <w:rsid w:val="00AB3079"/>
    <w:rsid w:val="00AB30A3"/>
    <w:rsid w:val="00AB381A"/>
    <w:rsid w:val="00AB3997"/>
    <w:rsid w:val="00AB3DB4"/>
    <w:rsid w:val="00AB4487"/>
    <w:rsid w:val="00AB4B31"/>
    <w:rsid w:val="00AB4E85"/>
    <w:rsid w:val="00AB5406"/>
    <w:rsid w:val="00AB57DA"/>
    <w:rsid w:val="00AB587B"/>
    <w:rsid w:val="00AB5E27"/>
    <w:rsid w:val="00AB6F83"/>
    <w:rsid w:val="00AB7925"/>
    <w:rsid w:val="00AB7AE2"/>
    <w:rsid w:val="00AB7E0F"/>
    <w:rsid w:val="00AC00CD"/>
    <w:rsid w:val="00AC04AD"/>
    <w:rsid w:val="00AC17F9"/>
    <w:rsid w:val="00AC1870"/>
    <w:rsid w:val="00AC2FB3"/>
    <w:rsid w:val="00AC3225"/>
    <w:rsid w:val="00AC39E3"/>
    <w:rsid w:val="00AC42D2"/>
    <w:rsid w:val="00AC48B4"/>
    <w:rsid w:val="00AC5AB9"/>
    <w:rsid w:val="00AC6EB4"/>
    <w:rsid w:val="00AC7032"/>
    <w:rsid w:val="00AD1F16"/>
    <w:rsid w:val="00AD370B"/>
    <w:rsid w:val="00AD5066"/>
    <w:rsid w:val="00AD6005"/>
    <w:rsid w:val="00AD67FB"/>
    <w:rsid w:val="00AD6A44"/>
    <w:rsid w:val="00AD71C4"/>
    <w:rsid w:val="00AE0552"/>
    <w:rsid w:val="00AE26E8"/>
    <w:rsid w:val="00AE3215"/>
    <w:rsid w:val="00AE3C00"/>
    <w:rsid w:val="00AE3CF5"/>
    <w:rsid w:val="00AE3EF7"/>
    <w:rsid w:val="00AE4E03"/>
    <w:rsid w:val="00AE4E39"/>
    <w:rsid w:val="00AE4E43"/>
    <w:rsid w:val="00AE5975"/>
    <w:rsid w:val="00AE5EEE"/>
    <w:rsid w:val="00AE704E"/>
    <w:rsid w:val="00AF09F0"/>
    <w:rsid w:val="00AF1FB0"/>
    <w:rsid w:val="00AF31E4"/>
    <w:rsid w:val="00AF3447"/>
    <w:rsid w:val="00AF3982"/>
    <w:rsid w:val="00AF444A"/>
    <w:rsid w:val="00AF5A18"/>
    <w:rsid w:val="00AF5D49"/>
    <w:rsid w:val="00AF70B8"/>
    <w:rsid w:val="00B000FE"/>
    <w:rsid w:val="00B00148"/>
    <w:rsid w:val="00B01B0F"/>
    <w:rsid w:val="00B02488"/>
    <w:rsid w:val="00B028D8"/>
    <w:rsid w:val="00B0295A"/>
    <w:rsid w:val="00B04277"/>
    <w:rsid w:val="00B047BD"/>
    <w:rsid w:val="00B1092F"/>
    <w:rsid w:val="00B12302"/>
    <w:rsid w:val="00B128D7"/>
    <w:rsid w:val="00B12B0D"/>
    <w:rsid w:val="00B13391"/>
    <w:rsid w:val="00B13657"/>
    <w:rsid w:val="00B149AA"/>
    <w:rsid w:val="00B14B3B"/>
    <w:rsid w:val="00B1642E"/>
    <w:rsid w:val="00B16EF4"/>
    <w:rsid w:val="00B16F0B"/>
    <w:rsid w:val="00B17B60"/>
    <w:rsid w:val="00B2067C"/>
    <w:rsid w:val="00B20AF1"/>
    <w:rsid w:val="00B20B09"/>
    <w:rsid w:val="00B20BC0"/>
    <w:rsid w:val="00B215D0"/>
    <w:rsid w:val="00B21AC6"/>
    <w:rsid w:val="00B21C1D"/>
    <w:rsid w:val="00B223FE"/>
    <w:rsid w:val="00B23B27"/>
    <w:rsid w:val="00B23EB4"/>
    <w:rsid w:val="00B247BB"/>
    <w:rsid w:val="00B24E68"/>
    <w:rsid w:val="00B256DE"/>
    <w:rsid w:val="00B25714"/>
    <w:rsid w:val="00B26415"/>
    <w:rsid w:val="00B271E4"/>
    <w:rsid w:val="00B30B23"/>
    <w:rsid w:val="00B31595"/>
    <w:rsid w:val="00B31B57"/>
    <w:rsid w:val="00B34331"/>
    <w:rsid w:val="00B3441E"/>
    <w:rsid w:val="00B3444A"/>
    <w:rsid w:val="00B345B2"/>
    <w:rsid w:val="00B346BC"/>
    <w:rsid w:val="00B35B69"/>
    <w:rsid w:val="00B36340"/>
    <w:rsid w:val="00B376B7"/>
    <w:rsid w:val="00B40796"/>
    <w:rsid w:val="00B4180F"/>
    <w:rsid w:val="00B41A59"/>
    <w:rsid w:val="00B42107"/>
    <w:rsid w:val="00B421C9"/>
    <w:rsid w:val="00B4270E"/>
    <w:rsid w:val="00B4657F"/>
    <w:rsid w:val="00B465B1"/>
    <w:rsid w:val="00B46737"/>
    <w:rsid w:val="00B501DF"/>
    <w:rsid w:val="00B518E5"/>
    <w:rsid w:val="00B51BB4"/>
    <w:rsid w:val="00B51F16"/>
    <w:rsid w:val="00B5430A"/>
    <w:rsid w:val="00B54759"/>
    <w:rsid w:val="00B55015"/>
    <w:rsid w:val="00B55C85"/>
    <w:rsid w:val="00B56656"/>
    <w:rsid w:val="00B56FDE"/>
    <w:rsid w:val="00B577BF"/>
    <w:rsid w:val="00B578D3"/>
    <w:rsid w:val="00B57BF3"/>
    <w:rsid w:val="00B6037A"/>
    <w:rsid w:val="00B60739"/>
    <w:rsid w:val="00B60927"/>
    <w:rsid w:val="00B61405"/>
    <w:rsid w:val="00B62134"/>
    <w:rsid w:val="00B6228D"/>
    <w:rsid w:val="00B624F5"/>
    <w:rsid w:val="00B626C6"/>
    <w:rsid w:val="00B62BF3"/>
    <w:rsid w:val="00B635A4"/>
    <w:rsid w:val="00B64470"/>
    <w:rsid w:val="00B6565B"/>
    <w:rsid w:val="00B65DC8"/>
    <w:rsid w:val="00B66672"/>
    <w:rsid w:val="00B66EB0"/>
    <w:rsid w:val="00B67393"/>
    <w:rsid w:val="00B67BF2"/>
    <w:rsid w:val="00B71558"/>
    <w:rsid w:val="00B71B75"/>
    <w:rsid w:val="00B71ED0"/>
    <w:rsid w:val="00B7243D"/>
    <w:rsid w:val="00B72B4E"/>
    <w:rsid w:val="00B7355F"/>
    <w:rsid w:val="00B750CA"/>
    <w:rsid w:val="00B7663F"/>
    <w:rsid w:val="00B779AF"/>
    <w:rsid w:val="00B8063C"/>
    <w:rsid w:val="00B824C6"/>
    <w:rsid w:val="00B8252C"/>
    <w:rsid w:val="00B82E17"/>
    <w:rsid w:val="00B83B09"/>
    <w:rsid w:val="00B84670"/>
    <w:rsid w:val="00B846BE"/>
    <w:rsid w:val="00B84B9B"/>
    <w:rsid w:val="00B84D08"/>
    <w:rsid w:val="00B84ED8"/>
    <w:rsid w:val="00B85420"/>
    <w:rsid w:val="00B85664"/>
    <w:rsid w:val="00B85FC2"/>
    <w:rsid w:val="00B86967"/>
    <w:rsid w:val="00B86B4D"/>
    <w:rsid w:val="00B87071"/>
    <w:rsid w:val="00B87390"/>
    <w:rsid w:val="00B87AF4"/>
    <w:rsid w:val="00B901EB"/>
    <w:rsid w:val="00B91EEA"/>
    <w:rsid w:val="00B9320C"/>
    <w:rsid w:val="00B933B2"/>
    <w:rsid w:val="00B938D7"/>
    <w:rsid w:val="00B93E9B"/>
    <w:rsid w:val="00B94530"/>
    <w:rsid w:val="00B94F62"/>
    <w:rsid w:val="00B950AD"/>
    <w:rsid w:val="00BA012F"/>
    <w:rsid w:val="00BA0203"/>
    <w:rsid w:val="00BA07BA"/>
    <w:rsid w:val="00BA1093"/>
    <w:rsid w:val="00BA10F8"/>
    <w:rsid w:val="00BA18B4"/>
    <w:rsid w:val="00BA27F1"/>
    <w:rsid w:val="00BA3763"/>
    <w:rsid w:val="00BA3E7C"/>
    <w:rsid w:val="00BA47D4"/>
    <w:rsid w:val="00BA51DE"/>
    <w:rsid w:val="00BA785C"/>
    <w:rsid w:val="00BB06FE"/>
    <w:rsid w:val="00BB0C2A"/>
    <w:rsid w:val="00BB17FD"/>
    <w:rsid w:val="00BB1950"/>
    <w:rsid w:val="00BB229E"/>
    <w:rsid w:val="00BB2390"/>
    <w:rsid w:val="00BB4870"/>
    <w:rsid w:val="00BB4DA9"/>
    <w:rsid w:val="00BB4F31"/>
    <w:rsid w:val="00BB52C5"/>
    <w:rsid w:val="00BB59A8"/>
    <w:rsid w:val="00BB5FFB"/>
    <w:rsid w:val="00BB69E8"/>
    <w:rsid w:val="00BB722F"/>
    <w:rsid w:val="00BC0575"/>
    <w:rsid w:val="00BC2D2F"/>
    <w:rsid w:val="00BC385D"/>
    <w:rsid w:val="00BC44D7"/>
    <w:rsid w:val="00BC4A76"/>
    <w:rsid w:val="00BC51AB"/>
    <w:rsid w:val="00BC614B"/>
    <w:rsid w:val="00BC74BF"/>
    <w:rsid w:val="00BC771D"/>
    <w:rsid w:val="00BC7AA7"/>
    <w:rsid w:val="00BD0D60"/>
    <w:rsid w:val="00BD0D79"/>
    <w:rsid w:val="00BD18A0"/>
    <w:rsid w:val="00BD226D"/>
    <w:rsid w:val="00BD2434"/>
    <w:rsid w:val="00BD3144"/>
    <w:rsid w:val="00BD4009"/>
    <w:rsid w:val="00BD5539"/>
    <w:rsid w:val="00BD7585"/>
    <w:rsid w:val="00BE0B52"/>
    <w:rsid w:val="00BE0D0B"/>
    <w:rsid w:val="00BE1685"/>
    <w:rsid w:val="00BE2F76"/>
    <w:rsid w:val="00BE30C0"/>
    <w:rsid w:val="00BE510D"/>
    <w:rsid w:val="00BE5D4B"/>
    <w:rsid w:val="00BE6C8B"/>
    <w:rsid w:val="00BF0286"/>
    <w:rsid w:val="00BF048E"/>
    <w:rsid w:val="00BF1078"/>
    <w:rsid w:val="00BF1693"/>
    <w:rsid w:val="00BF1A09"/>
    <w:rsid w:val="00BF1FBA"/>
    <w:rsid w:val="00BF2BBA"/>
    <w:rsid w:val="00BF3097"/>
    <w:rsid w:val="00BF4805"/>
    <w:rsid w:val="00BF4CD9"/>
    <w:rsid w:val="00BF52C1"/>
    <w:rsid w:val="00BF6A66"/>
    <w:rsid w:val="00BF754B"/>
    <w:rsid w:val="00C0004C"/>
    <w:rsid w:val="00C00609"/>
    <w:rsid w:val="00C00EE7"/>
    <w:rsid w:val="00C01C46"/>
    <w:rsid w:val="00C01D8F"/>
    <w:rsid w:val="00C02229"/>
    <w:rsid w:val="00C03F56"/>
    <w:rsid w:val="00C06709"/>
    <w:rsid w:val="00C06C1A"/>
    <w:rsid w:val="00C06E0A"/>
    <w:rsid w:val="00C07112"/>
    <w:rsid w:val="00C0768D"/>
    <w:rsid w:val="00C07861"/>
    <w:rsid w:val="00C07D8E"/>
    <w:rsid w:val="00C10290"/>
    <w:rsid w:val="00C105A9"/>
    <w:rsid w:val="00C10A30"/>
    <w:rsid w:val="00C1100E"/>
    <w:rsid w:val="00C114BC"/>
    <w:rsid w:val="00C11589"/>
    <w:rsid w:val="00C11DC6"/>
    <w:rsid w:val="00C1394C"/>
    <w:rsid w:val="00C14641"/>
    <w:rsid w:val="00C146B3"/>
    <w:rsid w:val="00C154F2"/>
    <w:rsid w:val="00C15903"/>
    <w:rsid w:val="00C160B0"/>
    <w:rsid w:val="00C16CE0"/>
    <w:rsid w:val="00C16FFA"/>
    <w:rsid w:val="00C17F0B"/>
    <w:rsid w:val="00C2047F"/>
    <w:rsid w:val="00C20A16"/>
    <w:rsid w:val="00C20D4B"/>
    <w:rsid w:val="00C220D6"/>
    <w:rsid w:val="00C225B8"/>
    <w:rsid w:val="00C23705"/>
    <w:rsid w:val="00C260CE"/>
    <w:rsid w:val="00C265C5"/>
    <w:rsid w:val="00C26AD7"/>
    <w:rsid w:val="00C27253"/>
    <w:rsid w:val="00C27462"/>
    <w:rsid w:val="00C27CEE"/>
    <w:rsid w:val="00C27D56"/>
    <w:rsid w:val="00C3024E"/>
    <w:rsid w:val="00C32641"/>
    <w:rsid w:val="00C32DEC"/>
    <w:rsid w:val="00C3330C"/>
    <w:rsid w:val="00C3398B"/>
    <w:rsid w:val="00C34676"/>
    <w:rsid w:val="00C35E09"/>
    <w:rsid w:val="00C35E15"/>
    <w:rsid w:val="00C36286"/>
    <w:rsid w:val="00C36538"/>
    <w:rsid w:val="00C36814"/>
    <w:rsid w:val="00C371B2"/>
    <w:rsid w:val="00C402AE"/>
    <w:rsid w:val="00C40DBD"/>
    <w:rsid w:val="00C418D0"/>
    <w:rsid w:val="00C42944"/>
    <w:rsid w:val="00C45073"/>
    <w:rsid w:val="00C46115"/>
    <w:rsid w:val="00C46816"/>
    <w:rsid w:val="00C47DF8"/>
    <w:rsid w:val="00C506CB"/>
    <w:rsid w:val="00C508D9"/>
    <w:rsid w:val="00C5133A"/>
    <w:rsid w:val="00C52496"/>
    <w:rsid w:val="00C527EE"/>
    <w:rsid w:val="00C54399"/>
    <w:rsid w:val="00C5527E"/>
    <w:rsid w:val="00C55400"/>
    <w:rsid w:val="00C569B3"/>
    <w:rsid w:val="00C56DFE"/>
    <w:rsid w:val="00C60CC0"/>
    <w:rsid w:val="00C616C3"/>
    <w:rsid w:val="00C623A7"/>
    <w:rsid w:val="00C630CA"/>
    <w:rsid w:val="00C63141"/>
    <w:rsid w:val="00C63799"/>
    <w:rsid w:val="00C64D85"/>
    <w:rsid w:val="00C6500F"/>
    <w:rsid w:val="00C664D7"/>
    <w:rsid w:val="00C672B0"/>
    <w:rsid w:val="00C67DFE"/>
    <w:rsid w:val="00C70198"/>
    <w:rsid w:val="00C70447"/>
    <w:rsid w:val="00C70B8A"/>
    <w:rsid w:val="00C70CBA"/>
    <w:rsid w:val="00C7182F"/>
    <w:rsid w:val="00C71BC5"/>
    <w:rsid w:val="00C72020"/>
    <w:rsid w:val="00C74547"/>
    <w:rsid w:val="00C748C6"/>
    <w:rsid w:val="00C74A65"/>
    <w:rsid w:val="00C75414"/>
    <w:rsid w:val="00C75859"/>
    <w:rsid w:val="00C7691C"/>
    <w:rsid w:val="00C802B7"/>
    <w:rsid w:val="00C80644"/>
    <w:rsid w:val="00C80F3D"/>
    <w:rsid w:val="00C8253A"/>
    <w:rsid w:val="00C833B5"/>
    <w:rsid w:val="00C83B02"/>
    <w:rsid w:val="00C84C49"/>
    <w:rsid w:val="00C85576"/>
    <w:rsid w:val="00C85F7E"/>
    <w:rsid w:val="00C86AF2"/>
    <w:rsid w:val="00C905B3"/>
    <w:rsid w:val="00C90766"/>
    <w:rsid w:val="00C9149A"/>
    <w:rsid w:val="00C91530"/>
    <w:rsid w:val="00C915CC"/>
    <w:rsid w:val="00C91D5A"/>
    <w:rsid w:val="00C91F80"/>
    <w:rsid w:val="00C926F3"/>
    <w:rsid w:val="00C93A77"/>
    <w:rsid w:val="00C941D9"/>
    <w:rsid w:val="00C96392"/>
    <w:rsid w:val="00C96A21"/>
    <w:rsid w:val="00CA0622"/>
    <w:rsid w:val="00CA134F"/>
    <w:rsid w:val="00CA2851"/>
    <w:rsid w:val="00CA3176"/>
    <w:rsid w:val="00CA720A"/>
    <w:rsid w:val="00CA7E3E"/>
    <w:rsid w:val="00CB09AB"/>
    <w:rsid w:val="00CB0D60"/>
    <w:rsid w:val="00CB1622"/>
    <w:rsid w:val="00CB1C78"/>
    <w:rsid w:val="00CB236E"/>
    <w:rsid w:val="00CB3149"/>
    <w:rsid w:val="00CB4567"/>
    <w:rsid w:val="00CB4BB1"/>
    <w:rsid w:val="00CB5E15"/>
    <w:rsid w:val="00CB7316"/>
    <w:rsid w:val="00CC0818"/>
    <w:rsid w:val="00CC1A9C"/>
    <w:rsid w:val="00CC33B9"/>
    <w:rsid w:val="00CC373C"/>
    <w:rsid w:val="00CC4AE6"/>
    <w:rsid w:val="00CC4BE3"/>
    <w:rsid w:val="00CC5E89"/>
    <w:rsid w:val="00CC6395"/>
    <w:rsid w:val="00CC66C9"/>
    <w:rsid w:val="00CC767B"/>
    <w:rsid w:val="00CD01B6"/>
    <w:rsid w:val="00CD02CA"/>
    <w:rsid w:val="00CD1332"/>
    <w:rsid w:val="00CD165C"/>
    <w:rsid w:val="00CD2143"/>
    <w:rsid w:val="00CD2A77"/>
    <w:rsid w:val="00CD2F14"/>
    <w:rsid w:val="00CD3023"/>
    <w:rsid w:val="00CD31A4"/>
    <w:rsid w:val="00CD52A0"/>
    <w:rsid w:val="00CD56E7"/>
    <w:rsid w:val="00CD64C3"/>
    <w:rsid w:val="00CD7CB6"/>
    <w:rsid w:val="00CE047A"/>
    <w:rsid w:val="00CE19F7"/>
    <w:rsid w:val="00CE1AB9"/>
    <w:rsid w:val="00CE1F34"/>
    <w:rsid w:val="00CE2089"/>
    <w:rsid w:val="00CE2F63"/>
    <w:rsid w:val="00CE3124"/>
    <w:rsid w:val="00CE5018"/>
    <w:rsid w:val="00CE64BE"/>
    <w:rsid w:val="00CE793B"/>
    <w:rsid w:val="00CF0077"/>
    <w:rsid w:val="00CF00FF"/>
    <w:rsid w:val="00CF1295"/>
    <w:rsid w:val="00CF1446"/>
    <w:rsid w:val="00CF218E"/>
    <w:rsid w:val="00CF2AAE"/>
    <w:rsid w:val="00CF3467"/>
    <w:rsid w:val="00CF35A6"/>
    <w:rsid w:val="00CF39F7"/>
    <w:rsid w:val="00CF3AE7"/>
    <w:rsid w:val="00CF4570"/>
    <w:rsid w:val="00CF4F0A"/>
    <w:rsid w:val="00CF503E"/>
    <w:rsid w:val="00CF5D6E"/>
    <w:rsid w:val="00D00A42"/>
    <w:rsid w:val="00D01E47"/>
    <w:rsid w:val="00D020FC"/>
    <w:rsid w:val="00D02AE1"/>
    <w:rsid w:val="00D02D45"/>
    <w:rsid w:val="00D032B2"/>
    <w:rsid w:val="00D037D9"/>
    <w:rsid w:val="00D03817"/>
    <w:rsid w:val="00D03FD3"/>
    <w:rsid w:val="00D044CD"/>
    <w:rsid w:val="00D04A3C"/>
    <w:rsid w:val="00D05423"/>
    <w:rsid w:val="00D06208"/>
    <w:rsid w:val="00D075CC"/>
    <w:rsid w:val="00D10286"/>
    <w:rsid w:val="00D10607"/>
    <w:rsid w:val="00D11B17"/>
    <w:rsid w:val="00D1274C"/>
    <w:rsid w:val="00D12AFE"/>
    <w:rsid w:val="00D12E12"/>
    <w:rsid w:val="00D13396"/>
    <w:rsid w:val="00D14701"/>
    <w:rsid w:val="00D1599F"/>
    <w:rsid w:val="00D161E0"/>
    <w:rsid w:val="00D17286"/>
    <w:rsid w:val="00D17DF2"/>
    <w:rsid w:val="00D2092F"/>
    <w:rsid w:val="00D218A1"/>
    <w:rsid w:val="00D22B89"/>
    <w:rsid w:val="00D22D7A"/>
    <w:rsid w:val="00D2422A"/>
    <w:rsid w:val="00D24308"/>
    <w:rsid w:val="00D24F0D"/>
    <w:rsid w:val="00D24F23"/>
    <w:rsid w:val="00D25019"/>
    <w:rsid w:val="00D255AC"/>
    <w:rsid w:val="00D30440"/>
    <w:rsid w:val="00D3070E"/>
    <w:rsid w:val="00D30D41"/>
    <w:rsid w:val="00D30DAD"/>
    <w:rsid w:val="00D31CCD"/>
    <w:rsid w:val="00D32334"/>
    <w:rsid w:val="00D354B7"/>
    <w:rsid w:val="00D35E40"/>
    <w:rsid w:val="00D37DA8"/>
    <w:rsid w:val="00D403F4"/>
    <w:rsid w:val="00D40CEA"/>
    <w:rsid w:val="00D40EFF"/>
    <w:rsid w:val="00D41619"/>
    <w:rsid w:val="00D4185E"/>
    <w:rsid w:val="00D447EA"/>
    <w:rsid w:val="00D44BF1"/>
    <w:rsid w:val="00D44D54"/>
    <w:rsid w:val="00D45A91"/>
    <w:rsid w:val="00D46C19"/>
    <w:rsid w:val="00D475B7"/>
    <w:rsid w:val="00D501F4"/>
    <w:rsid w:val="00D5024F"/>
    <w:rsid w:val="00D5053B"/>
    <w:rsid w:val="00D5070C"/>
    <w:rsid w:val="00D511D2"/>
    <w:rsid w:val="00D52102"/>
    <w:rsid w:val="00D525E4"/>
    <w:rsid w:val="00D53CCB"/>
    <w:rsid w:val="00D54A41"/>
    <w:rsid w:val="00D5554E"/>
    <w:rsid w:val="00D56D92"/>
    <w:rsid w:val="00D61FE5"/>
    <w:rsid w:val="00D62544"/>
    <w:rsid w:val="00D625F5"/>
    <w:rsid w:val="00D62A1D"/>
    <w:rsid w:val="00D66C35"/>
    <w:rsid w:val="00D67C03"/>
    <w:rsid w:val="00D67CD9"/>
    <w:rsid w:val="00D70F2A"/>
    <w:rsid w:val="00D71F70"/>
    <w:rsid w:val="00D72090"/>
    <w:rsid w:val="00D72371"/>
    <w:rsid w:val="00D72771"/>
    <w:rsid w:val="00D727DA"/>
    <w:rsid w:val="00D73A19"/>
    <w:rsid w:val="00D73A80"/>
    <w:rsid w:val="00D74962"/>
    <w:rsid w:val="00D74E28"/>
    <w:rsid w:val="00D74EF4"/>
    <w:rsid w:val="00D75901"/>
    <w:rsid w:val="00D759AC"/>
    <w:rsid w:val="00D76B62"/>
    <w:rsid w:val="00D771F2"/>
    <w:rsid w:val="00D77588"/>
    <w:rsid w:val="00D7791E"/>
    <w:rsid w:val="00D77A13"/>
    <w:rsid w:val="00D77D02"/>
    <w:rsid w:val="00D81111"/>
    <w:rsid w:val="00D81968"/>
    <w:rsid w:val="00D81FFC"/>
    <w:rsid w:val="00D82121"/>
    <w:rsid w:val="00D82127"/>
    <w:rsid w:val="00D82F53"/>
    <w:rsid w:val="00D8762C"/>
    <w:rsid w:val="00D87E35"/>
    <w:rsid w:val="00D87FAB"/>
    <w:rsid w:val="00D90C6E"/>
    <w:rsid w:val="00D91661"/>
    <w:rsid w:val="00D91DCE"/>
    <w:rsid w:val="00D92166"/>
    <w:rsid w:val="00D92F4A"/>
    <w:rsid w:val="00D92FD4"/>
    <w:rsid w:val="00D9370A"/>
    <w:rsid w:val="00D97E2C"/>
    <w:rsid w:val="00DA0465"/>
    <w:rsid w:val="00DA0C6F"/>
    <w:rsid w:val="00DA11C1"/>
    <w:rsid w:val="00DA23EB"/>
    <w:rsid w:val="00DA3DDE"/>
    <w:rsid w:val="00DA456E"/>
    <w:rsid w:val="00DA580D"/>
    <w:rsid w:val="00DA58CD"/>
    <w:rsid w:val="00DA644D"/>
    <w:rsid w:val="00DA64AA"/>
    <w:rsid w:val="00DA6BB1"/>
    <w:rsid w:val="00DA76CB"/>
    <w:rsid w:val="00DB0984"/>
    <w:rsid w:val="00DB1E54"/>
    <w:rsid w:val="00DB2A17"/>
    <w:rsid w:val="00DB2D3B"/>
    <w:rsid w:val="00DB3C2A"/>
    <w:rsid w:val="00DB44F4"/>
    <w:rsid w:val="00DB4D9C"/>
    <w:rsid w:val="00DB5A62"/>
    <w:rsid w:val="00DB70B7"/>
    <w:rsid w:val="00DB75B5"/>
    <w:rsid w:val="00DB7BE9"/>
    <w:rsid w:val="00DC027A"/>
    <w:rsid w:val="00DC0BEA"/>
    <w:rsid w:val="00DC0E76"/>
    <w:rsid w:val="00DC0EE0"/>
    <w:rsid w:val="00DC11CF"/>
    <w:rsid w:val="00DC18FE"/>
    <w:rsid w:val="00DC1CAC"/>
    <w:rsid w:val="00DC3C3A"/>
    <w:rsid w:val="00DC4AAD"/>
    <w:rsid w:val="00DC5A97"/>
    <w:rsid w:val="00DC7028"/>
    <w:rsid w:val="00DC781C"/>
    <w:rsid w:val="00DD1582"/>
    <w:rsid w:val="00DD5F0D"/>
    <w:rsid w:val="00DD6096"/>
    <w:rsid w:val="00DD7A9D"/>
    <w:rsid w:val="00DE076E"/>
    <w:rsid w:val="00DE0C16"/>
    <w:rsid w:val="00DE0C8A"/>
    <w:rsid w:val="00DE1100"/>
    <w:rsid w:val="00DE1911"/>
    <w:rsid w:val="00DE1B95"/>
    <w:rsid w:val="00DE205C"/>
    <w:rsid w:val="00DE27F3"/>
    <w:rsid w:val="00DE2F34"/>
    <w:rsid w:val="00DE2F51"/>
    <w:rsid w:val="00DE3137"/>
    <w:rsid w:val="00DE314C"/>
    <w:rsid w:val="00DE4E43"/>
    <w:rsid w:val="00DE517C"/>
    <w:rsid w:val="00DE593C"/>
    <w:rsid w:val="00DE5A61"/>
    <w:rsid w:val="00DE5CAD"/>
    <w:rsid w:val="00DE689E"/>
    <w:rsid w:val="00DE7AE1"/>
    <w:rsid w:val="00DF1D08"/>
    <w:rsid w:val="00DF1E25"/>
    <w:rsid w:val="00DF214E"/>
    <w:rsid w:val="00DF25DF"/>
    <w:rsid w:val="00DF36A9"/>
    <w:rsid w:val="00DF5252"/>
    <w:rsid w:val="00DF53A3"/>
    <w:rsid w:val="00DF6F78"/>
    <w:rsid w:val="00E0164D"/>
    <w:rsid w:val="00E01A8F"/>
    <w:rsid w:val="00E02676"/>
    <w:rsid w:val="00E02B1F"/>
    <w:rsid w:val="00E02FB8"/>
    <w:rsid w:val="00E0358F"/>
    <w:rsid w:val="00E03716"/>
    <w:rsid w:val="00E04800"/>
    <w:rsid w:val="00E04CF9"/>
    <w:rsid w:val="00E05ACE"/>
    <w:rsid w:val="00E101FD"/>
    <w:rsid w:val="00E1027F"/>
    <w:rsid w:val="00E10DD0"/>
    <w:rsid w:val="00E11742"/>
    <w:rsid w:val="00E117EB"/>
    <w:rsid w:val="00E11A1F"/>
    <w:rsid w:val="00E11C10"/>
    <w:rsid w:val="00E12A93"/>
    <w:rsid w:val="00E1421D"/>
    <w:rsid w:val="00E1580E"/>
    <w:rsid w:val="00E16AC8"/>
    <w:rsid w:val="00E17084"/>
    <w:rsid w:val="00E20D14"/>
    <w:rsid w:val="00E21095"/>
    <w:rsid w:val="00E211CE"/>
    <w:rsid w:val="00E2212F"/>
    <w:rsid w:val="00E225F7"/>
    <w:rsid w:val="00E22E60"/>
    <w:rsid w:val="00E26525"/>
    <w:rsid w:val="00E265A4"/>
    <w:rsid w:val="00E26F05"/>
    <w:rsid w:val="00E271D6"/>
    <w:rsid w:val="00E30536"/>
    <w:rsid w:val="00E308F0"/>
    <w:rsid w:val="00E33617"/>
    <w:rsid w:val="00E350B6"/>
    <w:rsid w:val="00E350D5"/>
    <w:rsid w:val="00E35A35"/>
    <w:rsid w:val="00E35C2C"/>
    <w:rsid w:val="00E360B0"/>
    <w:rsid w:val="00E36805"/>
    <w:rsid w:val="00E36E8C"/>
    <w:rsid w:val="00E374FE"/>
    <w:rsid w:val="00E37B1D"/>
    <w:rsid w:val="00E40ED1"/>
    <w:rsid w:val="00E41B1F"/>
    <w:rsid w:val="00E420E6"/>
    <w:rsid w:val="00E422DC"/>
    <w:rsid w:val="00E42503"/>
    <w:rsid w:val="00E431F8"/>
    <w:rsid w:val="00E436C2"/>
    <w:rsid w:val="00E4441D"/>
    <w:rsid w:val="00E44C05"/>
    <w:rsid w:val="00E44F23"/>
    <w:rsid w:val="00E454B1"/>
    <w:rsid w:val="00E46030"/>
    <w:rsid w:val="00E46214"/>
    <w:rsid w:val="00E46D40"/>
    <w:rsid w:val="00E46E49"/>
    <w:rsid w:val="00E47C96"/>
    <w:rsid w:val="00E50123"/>
    <w:rsid w:val="00E50B8D"/>
    <w:rsid w:val="00E50FA4"/>
    <w:rsid w:val="00E52B4A"/>
    <w:rsid w:val="00E53FF6"/>
    <w:rsid w:val="00E54CF1"/>
    <w:rsid w:val="00E55A5C"/>
    <w:rsid w:val="00E56178"/>
    <w:rsid w:val="00E6090D"/>
    <w:rsid w:val="00E61713"/>
    <w:rsid w:val="00E620DC"/>
    <w:rsid w:val="00E63CBB"/>
    <w:rsid w:val="00E63EF1"/>
    <w:rsid w:val="00E64093"/>
    <w:rsid w:val="00E647C8"/>
    <w:rsid w:val="00E64C25"/>
    <w:rsid w:val="00E652E1"/>
    <w:rsid w:val="00E6558E"/>
    <w:rsid w:val="00E65F94"/>
    <w:rsid w:val="00E66711"/>
    <w:rsid w:val="00E66995"/>
    <w:rsid w:val="00E66C99"/>
    <w:rsid w:val="00E67F51"/>
    <w:rsid w:val="00E71501"/>
    <w:rsid w:val="00E7228D"/>
    <w:rsid w:val="00E72C89"/>
    <w:rsid w:val="00E737FB"/>
    <w:rsid w:val="00E73939"/>
    <w:rsid w:val="00E73EB3"/>
    <w:rsid w:val="00E76293"/>
    <w:rsid w:val="00E765A2"/>
    <w:rsid w:val="00E766E8"/>
    <w:rsid w:val="00E77CBC"/>
    <w:rsid w:val="00E802E3"/>
    <w:rsid w:val="00E8090E"/>
    <w:rsid w:val="00E80D93"/>
    <w:rsid w:val="00E81CBA"/>
    <w:rsid w:val="00E833E3"/>
    <w:rsid w:val="00E843E3"/>
    <w:rsid w:val="00E84AE7"/>
    <w:rsid w:val="00E85E38"/>
    <w:rsid w:val="00E90D00"/>
    <w:rsid w:val="00E92104"/>
    <w:rsid w:val="00E92FCE"/>
    <w:rsid w:val="00E93D4C"/>
    <w:rsid w:val="00E94332"/>
    <w:rsid w:val="00E94982"/>
    <w:rsid w:val="00E949ED"/>
    <w:rsid w:val="00E94D15"/>
    <w:rsid w:val="00E95654"/>
    <w:rsid w:val="00E96127"/>
    <w:rsid w:val="00E963EC"/>
    <w:rsid w:val="00E96685"/>
    <w:rsid w:val="00E97651"/>
    <w:rsid w:val="00E976BB"/>
    <w:rsid w:val="00E977A6"/>
    <w:rsid w:val="00E977C8"/>
    <w:rsid w:val="00E97DE3"/>
    <w:rsid w:val="00EA01DB"/>
    <w:rsid w:val="00EA0474"/>
    <w:rsid w:val="00EA0916"/>
    <w:rsid w:val="00EA1D0F"/>
    <w:rsid w:val="00EA21F5"/>
    <w:rsid w:val="00EA2654"/>
    <w:rsid w:val="00EA2842"/>
    <w:rsid w:val="00EA3268"/>
    <w:rsid w:val="00EA359E"/>
    <w:rsid w:val="00EA4134"/>
    <w:rsid w:val="00EA462E"/>
    <w:rsid w:val="00EA4D52"/>
    <w:rsid w:val="00EA5E07"/>
    <w:rsid w:val="00EA5E96"/>
    <w:rsid w:val="00EA6280"/>
    <w:rsid w:val="00EA6469"/>
    <w:rsid w:val="00EA6BC2"/>
    <w:rsid w:val="00EA76AA"/>
    <w:rsid w:val="00EA7733"/>
    <w:rsid w:val="00EA7E60"/>
    <w:rsid w:val="00EB0F74"/>
    <w:rsid w:val="00EB1668"/>
    <w:rsid w:val="00EB16AF"/>
    <w:rsid w:val="00EB24C3"/>
    <w:rsid w:val="00EB267D"/>
    <w:rsid w:val="00EB27C4"/>
    <w:rsid w:val="00EB2D3E"/>
    <w:rsid w:val="00EB324D"/>
    <w:rsid w:val="00EB3B63"/>
    <w:rsid w:val="00EB49FF"/>
    <w:rsid w:val="00EB4D4A"/>
    <w:rsid w:val="00EB5037"/>
    <w:rsid w:val="00EB54CC"/>
    <w:rsid w:val="00EB5787"/>
    <w:rsid w:val="00EB75DC"/>
    <w:rsid w:val="00EB7856"/>
    <w:rsid w:val="00EB7925"/>
    <w:rsid w:val="00EC017C"/>
    <w:rsid w:val="00EC0387"/>
    <w:rsid w:val="00EC07C6"/>
    <w:rsid w:val="00EC0BA2"/>
    <w:rsid w:val="00EC235A"/>
    <w:rsid w:val="00EC3426"/>
    <w:rsid w:val="00EC43CD"/>
    <w:rsid w:val="00EC4C02"/>
    <w:rsid w:val="00EC4E94"/>
    <w:rsid w:val="00EC5ED7"/>
    <w:rsid w:val="00EC5F30"/>
    <w:rsid w:val="00EC665D"/>
    <w:rsid w:val="00EC680D"/>
    <w:rsid w:val="00ED025A"/>
    <w:rsid w:val="00ED1755"/>
    <w:rsid w:val="00ED1AE4"/>
    <w:rsid w:val="00ED1CC3"/>
    <w:rsid w:val="00ED28B0"/>
    <w:rsid w:val="00ED2C57"/>
    <w:rsid w:val="00ED3CD1"/>
    <w:rsid w:val="00ED3F3C"/>
    <w:rsid w:val="00ED54D2"/>
    <w:rsid w:val="00ED60CE"/>
    <w:rsid w:val="00ED6195"/>
    <w:rsid w:val="00ED6708"/>
    <w:rsid w:val="00ED78D9"/>
    <w:rsid w:val="00ED7BB5"/>
    <w:rsid w:val="00EE0704"/>
    <w:rsid w:val="00EE0D09"/>
    <w:rsid w:val="00EE12A2"/>
    <w:rsid w:val="00EE1B05"/>
    <w:rsid w:val="00EE1BA0"/>
    <w:rsid w:val="00EE26F3"/>
    <w:rsid w:val="00EE4044"/>
    <w:rsid w:val="00EE4813"/>
    <w:rsid w:val="00EE4995"/>
    <w:rsid w:val="00EE4AB7"/>
    <w:rsid w:val="00EE4F54"/>
    <w:rsid w:val="00EE5407"/>
    <w:rsid w:val="00EE54D7"/>
    <w:rsid w:val="00EE7C09"/>
    <w:rsid w:val="00EF11B4"/>
    <w:rsid w:val="00EF2FAC"/>
    <w:rsid w:val="00EF436C"/>
    <w:rsid w:val="00EF45CA"/>
    <w:rsid w:val="00EF4A16"/>
    <w:rsid w:val="00EF520A"/>
    <w:rsid w:val="00EF55C0"/>
    <w:rsid w:val="00EF5D5F"/>
    <w:rsid w:val="00EF6747"/>
    <w:rsid w:val="00EF7607"/>
    <w:rsid w:val="00EF7F6E"/>
    <w:rsid w:val="00F000E3"/>
    <w:rsid w:val="00F00969"/>
    <w:rsid w:val="00F0235C"/>
    <w:rsid w:val="00F038BF"/>
    <w:rsid w:val="00F03B4F"/>
    <w:rsid w:val="00F0474E"/>
    <w:rsid w:val="00F048EC"/>
    <w:rsid w:val="00F05B3C"/>
    <w:rsid w:val="00F05D9C"/>
    <w:rsid w:val="00F065E0"/>
    <w:rsid w:val="00F06AA8"/>
    <w:rsid w:val="00F075AA"/>
    <w:rsid w:val="00F076F8"/>
    <w:rsid w:val="00F0775B"/>
    <w:rsid w:val="00F07C51"/>
    <w:rsid w:val="00F07EC0"/>
    <w:rsid w:val="00F1084B"/>
    <w:rsid w:val="00F10D6F"/>
    <w:rsid w:val="00F10ECB"/>
    <w:rsid w:val="00F11208"/>
    <w:rsid w:val="00F115A9"/>
    <w:rsid w:val="00F117C9"/>
    <w:rsid w:val="00F14168"/>
    <w:rsid w:val="00F152F8"/>
    <w:rsid w:val="00F15D89"/>
    <w:rsid w:val="00F15F19"/>
    <w:rsid w:val="00F16BD9"/>
    <w:rsid w:val="00F17F39"/>
    <w:rsid w:val="00F20011"/>
    <w:rsid w:val="00F211C0"/>
    <w:rsid w:val="00F21746"/>
    <w:rsid w:val="00F21B93"/>
    <w:rsid w:val="00F23EB5"/>
    <w:rsid w:val="00F253BB"/>
    <w:rsid w:val="00F25967"/>
    <w:rsid w:val="00F25B97"/>
    <w:rsid w:val="00F261A7"/>
    <w:rsid w:val="00F26F71"/>
    <w:rsid w:val="00F2750A"/>
    <w:rsid w:val="00F30C4E"/>
    <w:rsid w:val="00F32248"/>
    <w:rsid w:val="00F33791"/>
    <w:rsid w:val="00F3392A"/>
    <w:rsid w:val="00F3399B"/>
    <w:rsid w:val="00F34386"/>
    <w:rsid w:val="00F349AE"/>
    <w:rsid w:val="00F34FAF"/>
    <w:rsid w:val="00F37A07"/>
    <w:rsid w:val="00F41384"/>
    <w:rsid w:val="00F42B1D"/>
    <w:rsid w:val="00F43219"/>
    <w:rsid w:val="00F43BE3"/>
    <w:rsid w:val="00F43D34"/>
    <w:rsid w:val="00F4419C"/>
    <w:rsid w:val="00F44408"/>
    <w:rsid w:val="00F45FFB"/>
    <w:rsid w:val="00F464EE"/>
    <w:rsid w:val="00F4701D"/>
    <w:rsid w:val="00F47A3A"/>
    <w:rsid w:val="00F50825"/>
    <w:rsid w:val="00F5110D"/>
    <w:rsid w:val="00F5119F"/>
    <w:rsid w:val="00F512E1"/>
    <w:rsid w:val="00F51329"/>
    <w:rsid w:val="00F52346"/>
    <w:rsid w:val="00F52A13"/>
    <w:rsid w:val="00F52B53"/>
    <w:rsid w:val="00F52F3F"/>
    <w:rsid w:val="00F53715"/>
    <w:rsid w:val="00F5382B"/>
    <w:rsid w:val="00F538D1"/>
    <w:rsid w:val="00F544DB"/>
    <w:rsid w:val="00F54798"/>
    <w:rsid w:val="00F54F2B"/>
    <w:rsid w:val="00F569DB"/>
    <w:rsid w:val="00F60A1D"/>
    <w:rsid w:val="00F61B21"/>
    <w:rsid w:val="00F61FD7"/>
    <w:rsid w:val="00F624EE"/>
    <w:rsid w:val="00F626EC"/>
    <w:rsid w:val="00F6272B"/>
    <w:rsid w:val="00F6310B"/>
    <w:rsid w:val="00F6341F"/>
    <w:rsid w:val="00F63AE5"/>
    <w:rsid w:val="00F642DA"/>
    <w:rsid w:val="00F645B8"/>
    <w:rsid w:val="00F657B9"/>
    <w:rsid w:val="00F658EF"/>
    <w:rsid w:val="00F658F2"/>
    <w:rsid w:val="00F66C93"/>
    <w:rsid w:val="00F67267"/>
    <w:rsid w:val="00F67724"/>
    <w:rsid w:val="00F67BC0"/>
    <w:rsid w:val="00F7156B"/>
    <w:rsid w:val="00F71D86"/>
    <w:rsid w:val="00F73962"/>
    <w:rsid w:val="00F73C54"/>
    <w:rsid w:val="00F7405C"/>
    <w:rsid w:val="00F74122"/>
    <w:rsid w:val="00F74438"/>
    <w:rsid w:val="00F75465"/>
    <w:rsid w:val="00F76D58"/>
    <w:rsid w:val="00F77017"/>
    <w:rsid w:val="00F771FC"/>
    <w:rsid w:val="00F8011A"/>
    <w:rsid w:val="00F80A5B"/>
    <w:rsid w:val="00F82411"/>
    <w:rsid w:val="00F830FE"/>
    <w:rsid w:val="00F83589"/>
    <w:rsid w:val="00F854A4"/>
    <w:rsid w:val="00F86E56"/>
    <w:rsid w:val="00F903B3"/>
    <w:rsid w:val="00F911AD"/>
    <w:rsid w:val="00F91586"/>
    <w:rsid w:val="00F919AF"/>
    <w:rsid w:val="00F91D15"/>
    <w:rsid w:val="00F947FA"/>
    <w:rsid w:val="00F95921"/>
    <w:rsid w:val="00F96469"/>
    <w:rsid w:val="00F964F6"/>
    <w:rsid w:val="00F965E4"/>
    <w:rsid w:val="00FA1601"/>
    <w:rsid w:val="00FA313F"/>
    <w:rsid w:val="00FA352E"/>
    <w:rsid w:val="00FA3596"/>
    <w:rsid w:val="00FA3A95"/>
    <w:rsid w:val="00FA3CD7"/>
    <w:rsid w:val="00FA50F2"/>
    <w:rsid w:val="00FA5680"/>
    <w:rsid w:val="00FA74B2"/>
    <w:rsid w:val="00FA78CC"/>
    <w:rsid w:val="00FA7CF2"/>
    <w:rsid w:val="00FB0778"/>
    <w:rsid w:val="00FB0BD9"/>
    <w:rsid w:val="00FB106B"/>
    <w:rsid w:val="00FB227B"/>
    <w:rsid w:val="00FB25A9"/>
    <w:rsid w:val="00FB3E3C"/>
    <w:rsid w:val="00FB4F95"/>
    <w:rsid w:val="00FB5256"/>
    <w:rsid w:val="00FB526A"/>
    <w:rsid w:val="00FB5AFC"/>
    <w:rsid w:val="00FB6402"/>
    <w:rsid w:val="00FB6423"/>
    <w:rsid w:val="00FB702D"/>
    <w:rsid w:val="00FB7988"/>
    <w:rsid w:val="00FC0128"/>
    <w:rsid w:val="00FC01E7"/>
    <w:rsid w:val="00FC026D"/>
    <w:rsid w:val="00FC065F"/>
    <w:rsid w:val="00FC09F2"/>
    <w:rsid w:val="00FC221A"/>
    <w:rsid w:val="00FC2FCD"/>
    <w:rsid w:val="00FC33F4"/>
    <w:rsid w:val="00FC407C"/>
    <w:rsid w:val="00FC46D2"/>
    <w:rsid w:val="00FC478E"/>
    <w:rsid w:val="00FC65ED"/>
    <w:rsid w:val="00FD0102"/>
    <w:rsid w:val="00FD06C1"/>
    <w:rsid w:val="00FD0ADF"/>
    <w:rsid w:val="00FD1675"/>
    <w:rsid w:val="00FD19B8"/>
    <w:rsid w:val="00FD1EB8"/>
    <w:rsid w:val="00FD3ED8"/>
    <w:rsid w:val="00FD4007"/>
    <w:rsid w:val="00FD4357"/>
    <w:rsid w:val="00FD58E0"/>
    <w:rsid w:val="00FD5D8D"/>
    <w:rsid w:val="00FD5DB2"/>
    <w:rsid w:val="00FD63AB"/>
    <w:rsid w:val="00FD6591"/>
    <w:rsid w:val="00FD6B2B"/>
    <w:rsid w:val="00FE0285"/>
    <w:rsid w:val="00FE037F"/>
    <w:rsid w:val="00FE0EDC"/>
    <w:rsid w:val="00FE10F3"/>
    <w:rsid w:val="00FE1930"/>
    <w:rsid w:val="00FE2D51"/>
    <w:rsid w:val="00FE437F"/>
    <w:rsid w:val="00FE4497"/>
    <w:rsid w:val="00FE4881"/>
    <w:rsid w:val="00FE4B8B"/>
    <w:rsid w:val="00FE5004"/>
    <w:rsid w:val="00FE6633"/>
    <w:rsid w:val="00FE7584"/>
    <w:rsid w:val="00FE7900"/>
    <w:rsid w:val="00FE7B8B"/>
    <w:rsid w:val="00FF13E3"/>
    <w:rsid w:val="00FF1424"/>
    <w:rsid w:val="00FF1497"/>
    <w:rsid w:val="00FF1BCD"/>
    <w:rsid w:val="00FF1FB8"/>
    <w:rsid w:val="00FF229F"/>
    <w:rsid w:val="00FF2597"/>
    <w:rsid w:val="00FF2A5C"/>
    <w:rsid w:val="00FF3C56"/>
    <w:rsid w:val="00FF3C82"/>
    <w:rsid w:val="00FF413A"/>
    <w:rsid w:val="00FF41ED"/>
    <w:rsid w:val="00FF50A2"/>
    <w:rsid w:val="00FF6723"/>
    <w:rsid w:val="00FF6C3D"/>
    <w:rsid w:val="00FF77EC"/>
    <w:rsid w:val="00FF79DB"/>
    <w:rsid w:val="00FF7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B58C7"/>
  <w15:docId w15:val="{FFBE5315-4F74-43A7-ADEA-2ACB4A1C7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C89"/>
    <w:rPr>
      <w:rFonts w:ascii="Arial" w:hAnsi="Arial"/>
      <w:sz w:val="24"/>
      <w:szCs w:val="24"/>
      <w:lang w:eastAsia="en-US"/>
    </w:rPr>
  </w:style>
  <w:style w:type="paragraph" w:styleId="Heading1">
    <w:name w:val="heading 1"/>
    <w:basedOn w:val="Normal"/>
    <w:next w:val="Normal"/>
    <w:link w:val="Heading1Char"/>
    <w:uiPriority w:val="9"/>
    <w:qFormat/>
    <w:rsid w:val="00B04277"/>
    <w:pPr>
      <w:keepNext/>
      <w:keepLines/>
      <w:ind w:left="720" w:hanging="720"/>
      <w:outlineLvl w:val="0"/>
    </w:pPr>
    <w:rPr>
      <w:rFonts w:eastAsia="Times New Roman"/>
      <w:b/>
      <w:bCs/>
    </w:rPr>
  </w:style>
  <w:style w:type="paragraph" w:styleId="Heading2">
    <w:name w:val="heading 2"/>
    <w:basedOn w:val="Normal"/>
    <w:next w:val="Normal"/>
    <w:link w:val="Heading2Char"/>
    <w:uiPriority w:val="9"/>
    <w:unhideWhenUsed/>
    <w:qFormat/>
    <w:rsid w:val="00E72C89"/>
    <w:pPr>
      <w:keepNext/>
      <w:keepLines/>
      <w:outlineLvl w:val="1"/>
    </w:pPr>
    <w:rPr>
      <w:rFonts w:eastAsia="Times New Roman"/>
      <w:b/>
      <w:bCs/>
      <w:i/>
      <w:szCs w:val="26"/>
    </w:rPr>
  </w:style>
  <w:style w:type="paragraph" w:styleId="Heading3">
    <w:name w:val="heading 3"/>
    <w:basedOn w:val="Normal"/>
    <w:next w:val="Normal"/>
    <w:link w:val="Heading3Char"/>
    <w:uiPriority w:val="9"/>
    <w:semiHidden/>
    <w:unhideWhenUsed/>
    <w:rsid w:val="0083437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3437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6B61D8"/>
    <w:rPr>
      <w:rFonts w:ascii="Arial" w:hAnsi="Arial"/>
      <w:sz w:val="24"/>
      <w:szCs w:val="22"/>
      <w:lang w:eastAsia="en-US"/>
    </w:rPr>
  </w:style>
  <w:style w:type="character" w:customStyle="1" w:styleId="Heading1Char">
    <w:name w:val="Heading 1 Char"/>
    <w:basedOn w:val="DefaultParagraphFont"/>
    <w:link w:val="Heading1"/>
    <w:uiPriority w:val="9"/>
    <w:rsid w:val="00B04277"/>
    <w:rPr>
      <w:rFonts w:ascii="Arial" w:eastAsia="Times New Roman" w:hAnsi="Arial"/>
      <w:b/>
      <w:bCs/>
      <w:sz w:val="24"/>
      <w:szCs w:val="24"/>
      <w:lang w:eastAsia="en-US"/>
    </w:rPr>
  </w:style>
  <w:style w:type="paragraph" w:styleId="Title">
    <w:name w:val="Title"/>
    <w:basedOn w:val="Heading1"/>
    <w:next w:val="Normal"/>
    <w:link w:val="TitleChar"/>
    <w:uiPriority w:val="10"/>
    <w:qFormat/>
    <w:rsid w:val="00036F32"/>
    <w:rPr>
      <w:lang w:val="en-US"/>
    </w:rPr>
  </w:style>
  <w:style w:type="character" w:customStyle="1" w:styleId="TitleChar">
    <w:name w:val="Title Char"/>
    <w:basedOn w:val="DefaultParagraphFont"/>
    <w:link w:val="Title"/>
    <w:uiPriority w:val="10"/>
    <w:rsid w:val="00036F32"/>
    <w:rPr>
      <w:rFonts w:ascii="Arial" w:eastAsia="Times New Roman" w:hAnsi="Arial"/>
      <w:b/>
      <w:bCs/>
      <w:sz w:val="24"/>
      <w:szCs w:val="24"/>
      <w:lang w:val="en-US" w:eastAsia="en-US"/>
    </w:rPr>
  </w:style>
  <w:style w:type="character" w:customStyle="1" w:styleId="Heading2Char">
    <w:name w:val="Heading 2 Char"/>
    <w:basedOn w:val="DefaultParagraphFont"/>
    <w:link w:val="Heading2"/>
    <w:uiPriority w:val="9"/>
    <w:rsid w:val="00E72C89"/>
    <w:rPr>
      <w:rFonts w:ascii="Arial" w:eastAsia="Times New Roman" w:hAnsi="Arial"/>
      <w:b/>
      <w:bCs/>
      <w:i/>
      <w:sz w:val="24"/>
      <w:szCs w:val="26"/>
      <w:lang w:eastAsia="en-US"/>
    </w:rPr>
  </w:style>
  <w:style w:type="paragraph" w:styleId="ListParagraph">
    <w:name w:val="List Paragraph"/>
    <w:aliases w:val="Dot pt,No Spacing1,List Paragraph Char Char Char,Indicator Text,List Paragraph1,Numbered Para 1,Bullet 1,List Paragraph12,Bullet Points,MAIN CONTENT,F5 List Paragraph,Colorful List - Accent 11,Normal numbered,List Paragraph11,OBC Bullet,L"/>
    <w:basedOn w:val="Normal"/>
    <w:link w:val="ListParagraphChar"/>
    <w:uiPriority w:val="34"/>
    <w:qFormat/>
    <w:rsid w:val="00691940"/>
    <w:pPr>
      <w:ind w:left="720"/>
      <w:contextualSpacing/>
    </w:pPr>
  </w:style>
  <w:style w:type="character" w:styleId="Hyperlink">
    <w:name w:val="Hyperlink"/>
    <w:basedOn w:val="DefaultParagraphFont"/>
    <w:uiPriority w:val="99"/>
    <w:unhideWhenUsed/>
    <w:rsid w:val="004724A0"/>
    <w:rPr>
      <w:color w:val="0000FF"/>
      <w:u w:val="single"/>
    </w:rPr>
  </w:style>
  <w:style w:type="paragraph" w:styleId="Header">
    <w:name w:val="header"/>
    <w:basedOn w:val="Normal"/>
    <w:link w:val="HeaderChar"/>
    <w:uiPriority w:val="99"/>
    <w:unhideWhenUsed/>
    <w:rsid w:val="009740DB"/>
    <w:pPr>
      <w:tabs>
        <w:tab w:val="center" w:pos="4513"/>
        <w:tab w:val="right" w:pos="9026"/>
      </w:tabs>
    </w:pPr>
  </w:style>
  <w:style w:type="character" w:customStyle="1" w:styleId="HeaderChar">
    <w:name w:val="Header Char"/>
    <w:basedOn w:val="DefaultParagraphFont"/>
    <w:link w:val="Header"/>
    <w:uiPriority w:val="99"/>
    <w:rsid w:val="009740DB"/>
    <w:rPr>
      <w:rFonts w:ascii="Arial" w:hAnsi="Arial"/>
      <w:sz w:val="28"/>
      <w:szCs w:val="22"/>
      <w:lang w:eastAsia="en-US"/>
    </w:rPr>
  </w:style>
  <w:style w:type="paragraph" w:styleId="Footer">
    <w:name w:val="footer"/>
    <w:basedOn w:val="Normal"/>
    <w:link w:val="FooterChar"/>
    <w:uiPriority w:val="99"/>
    <w:unhideWhenUsed/>
    <w:rsid w:val="009740DB"/>
    <w:pPr>
      <w:tabs>
        <w:tab w:val="center" w:pos="4513"/>
        <w:tab w:val="right" w:pos="9026"/>
      </w:tabs>
    </w:pPr>
  </w:style>
  <w:style w:type="character" w:customStyle="1" w:styleId="FooterChar">
    <w:name w:val="Footer Char"/>
    <w:basedOn w:val="DefaultParagraphFont"/>
    <w:link w:val="Footer"/>
    <w:uiPriority w:val="99"/>
    <w:rsid w:val="009740DB"/>
    <w:rPr>
      <w:rFonts w:ascii="Arial" w:hAnsi="Arial"/>
      <w:sz w:val="28"/>
      <w:szCs w:val="22"/>
      <w:lang w:eastAsia="en-US"/>
    </w:rPr>
  </w:style>
  <w:style w:type="paragraph" w:styleId="BalloonText">
    <w:name w:val="Balloon Text"/>
    <w:basedOn w:val="Normal"/>
    <w:link w:val="BalloonTextChar"/>
    <w:uiPriority w:val="99"/>
    <w:semiHidden/>
    <w:unhideWhenUsed/>
    <w:rsid w:val="00760489"/>
    <w:rPr>
      <w:rFonts w:ascii="Tahoma" w:hAnsi="Tahoma" w:cs="Tahoma"/>
      <w:sz w:val="16"/>
      <w:szCs w:val="16"/>
    </w:rPr>
  </w:style>
  <w:style w:type="character" w:customStyle="1" w:styleId="BalloonTextChar">
    <w:name w:val="Balloon Text Char"/>
    <w:basedOn w:val="DefaultParagraphFont"/>
    <w:link w:val="BalloonText"/>
    <w:uiPriority w:val="99"/>
    <w:semiHidden/>
    <w:rsid w:val="00760489"/>
    <w:rPr>
      <w:rFonts w:ascii="Tahoma" w:hAnsi="Tahoma" w:cs="Tahoma"/>
      <w:sz w:val="16"/>
      <w:szCs w:val="16"/>
      <w:lang w:eastAsia="en-US"/>
    </w:rPr>
  </w:style>
  <w:style w:type="table" w:styleId="TableGrid">
    <w:name w:val="Table Grid"/>
    <w:basedOn w:val="TableNormal"/>
    <w:uiPriority w:val="39"/>
    <w:rsid w:val="00DB0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1CD2"/>
    <w:rPr>
      <w:sz w:val="16"/>
      <w:szCs w:val="16"/>
    </w:rPr>
  </w:style>
  <w:style w:type="paragraph" w:styleId="CommentText">
    <w:name w:val="annotation text"/>
    <w:basedOn w:val="Normal"/>
    <w:link w:val="CommentTextChar"/>
    <w:uiPriority w:val="99"/>
    <w:unhideWhenUsed/>
    <w:rsid w:val="005A1CD2"/>
    <w:rPr>
      <w:sz w:val="20"/>
      <w:szCs w:val="20"/>
    </w:rPr>
  </w:style>
  <w:style w:type="character" w:customStyle="1" w:styleId="CommentTextChar">
    <w:name w:val="Comment Text Char"/>
    <w:basedOn w:val="DefaultParagraphFont"/>
    <w:link w:val="CommentText"/>
    <w:uiPriority w:val="99"/>
    <w:rsid w:val="005A1CD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5A1CD2"/>
    <w:rPr>
      <w:b/>
      <w:bCs/>
    </w:rPr>
  </w:style>
  <w:style w:type="character" w:customStyle="1" w:styleId="CommentSubjectChar">
    <w:name w:val="Comment Subject Char"/>
    <w:basedOn w:val="CommentTextChar"/>
    <w:link w:val="CommentSubject"/>
    <w:uiPriority w:val="99"/>
    <w:semiHidden/>
    <w:rsid w:val="005A1CD2"/>
    <w:rPr>
      <w:rFonts w:ascii="Arial" w:hAnsi="Arial"/>
      <w:b/>
      <w:bCs/>
      <w:lang w:eastAsia="en-US"/>
    </w:rPr>
  </w:style>
  <w:style w:type="paragraph" w:styleId="PlainText">
    <w:name w:val="Plain Text"/>
    <w:basedOn w:val="Normal"/>
    <w:link w:val="PlainTextChar"/>
    <w:uiPriority w:val="99"/>
    <w:unhideWhenUsed/>
    <w:rsid w:val="00AB57DA"/>
    <w:rPr>
      <w:rFonts w:ascii="Consolas" w:hAnsi="Consolas"/>
      <w:sz w:val="21"/>
      <w:szCs w:val="21"/>
    </w:rPr>
  </w:style>
  <w:style w:type="character" w:customStyle="1" w:styleId="PlainTextChar">
    <w:name w:val="Plain Text Char"/>
    <w:basedOn w:val="DefaultParagraphFont"/>
    <w:link w:val="PlainText"/>
    <w:uiPriority w:val="99"/>
    <w:rsid w:val="00AB57DA"/>
    <w:rPr>
      <w:rFonts w:ascii="Consolas" w:hAnsi="Consolas"/>
      <w:sz w:val="21"/>
      <w:szCs w:val="21"/>
    </w:rPr>
  </w:style>
  <w:style w:type="paragraph" w:styleId="NormalWeb">
    <w:name w:val="Normal (Web)"/>
    <w:basedOn w:val="Normal"/>
    <w:uiPriority w:val="99"/>
    <w:unhideWhenUsed/>
    <w:rsid w:val="00D82121"/>
    <w:pPr>
      <w:spacing w:before="24" w:after="144"/>
    </w:pPr>
    <w:rPr>
      <w:rFonts w:eastAsia="Times New Roman" w:cs="Arial"/>
      <w:lang w:eastAsia="en-GB"/>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L Char"/>
    <w:link w:val="ListParagraph"/>
    <w:uiPriority w:val="34"/>
    <w:qFormat/>
    <w:locked/>
    <w:rsid w:val="000F025D"/>
    <w:rPr>
      <w:rFonts w:ascii="Arial" w:hAnsi="Arial"/>
      <w:sz w:val="28"/>
      <w:szCs w:val="22"/>
      <w:lang w:eastAsia="en-US"/>
    </w:rPr>
  </w:style>
  <w:style w:type="paragraph" w:customStyle="1" w:styleId="Body">
    <w:name w:val="Body"/>
    <w:basedOn w:val="Normal"/>
    <w:rsid w:val="00A52ABB"/>
    <w:rPr>
      <w:rFonts w:ascii="Helvetica" w:eastAsiaTheme="minorHAnsi" w:hAnsi="Helvetica"/>
      <w:color w:val="000000"/>
      <w:sz w:val="22"/>
      <w:lang w:eastAsia="en-GB"/>
    </w:rPr>
  </w:style>
  <w:style w:type="paragraph" w:customStyle="1" w:styleId="wordsection1">
    <w:name w:val="wordsection1"/>
    <w:basedOn w:val="Normal"/>
    <w:uiPriority w:val="99"/>
    <w:rsid w:val="0078785E"/>
    <w:rPr>
      <w:rFonts w:ascii="Times New Roman" w:eastAsiaTheme="minorHAnsi" w:hAnsi="Times New Roman"/>
      <w:lang w:eastAsia="en-GB"/>
    </w:rPr>
  </w:style>
  <w:style w:type="paragraph" w:customStyle="1" w:styleId="Default">
    <w:name w:val="Default"/>
    <w:rsid w:val="00074C38"/>
    <w:pPr>
      <w:autoSpaceDE w:val="0"/>
      <w:autoSpaceDN w:val="0"/>
      <w:adjustRightInd w:val="0"/>
    </w:pPr>
    <w:rPr>
      <w:rFonts w:ascii="Arial" w:hAnsi="Arial" w:cs="Arial"/>
      <w:color w:val="000000"/>
      <w:sz w:val="24"/>
      <w:szCs w:val="24"/>
    </w:rPr>
  </w:style>
  <w:style w:type="paragraph" w:customStyle="1" w:styleId="type">
    <w:name w:val="type"/>
    <w:basedOn w:val="Normal"/>
    <w:rsid w:val="009C6DD1"/>
    <w:pPr>
      <w:spacing w:before="100" w:beforeAutospacing="1" w:after="100" w:afterAutospacing="1"/>
    </w:pPr>
    <w:rPr>
      <w:rFonts w:ascii="Times New Roman" w:eastAsia="Times New Roman" w:hAnsi="Times New Roman"/>
      <w:lang w:eastAsia="en-GB"/>
    </w:rPr>
  </w:style>
  <w:style w:type="paragraph" w:customStyle="1" w:styleId="Pa0">
    <w:name w:val="Pa0"/>
    <w:basedOn w:val="Default"/>
    <w:next w:val="Default"/>
    <w:uiPriority w:val="99"/>
    <w:rsid w:val="00EE0D09"/>
    <w:pPr>
      <w:spacing w:line="721" w:lineRule="atLeast"/>
    </w:pPr>
    <w:rPr>
      <w:rFonts w:ascii="Georgia" w:hAnsi="Georgia" w:cs="Times New Roman"/>
      <w:color w:val="auto"/>
    </w:rPr>
  </w:style>
  <w:style w:type="paragraph" w:customStyle="1" w:styleId="Pa1">
    <w:name w:val="Pa1"/>
    <w:basedOn w:val="Default"/>
    <w:next w:val="Default"/>
    <w:uiPriority w:val="99"/>
    <w:rsid w:val="00EE0D09"/>
    <w:pPr>
      <w:spacing w:line="321" w:lineRule="atLeast"/>
    </w:pPr>
    <w:rPr>
      <w:rFonts w:ascii="Georgia" w:hAnsi="Georgia" w:cs="Times New Roman"/>
      <w:color w:val="auto"/>
    </w:rPr>
  </w:style>
  <w:style w:type="character" w:styleId="FollowedHyperlink">
    <w:name w:val="FollowedHyperlink"/>
    <w:basedOn w:val="DefaultParagraphFont"/>
    <w:uiPriority w:val="99"/>
    <w:semiHidden/>
    <w:unhideWhenUsed/>
    <w:rsid w:val="00F05D9C"/>
    <w:rPr>
      <w:color w:val="800080" w:themeColor="followedHyperlink"/>
      <w:u w:val="single"/>
    </w:rPr>
  </w:style>
  <w:style w:type="character" w:styleId="Strong">
    <w:name w:val="Strong"/>
    <w:basedOn w:val="DefaultParagraphFont"/>
    <w:uiPriority w:val="22"/>
    <w:qFormat/>
    <w:rsid w:val="001A03A7"/>
    <w:rPr>
      <w:b/>
      <w:bCs/>
    </w:rPr>
  </w:style>
  <w:style w:type="character" w:customStyle="1" w:styleId="tgc">
    <w:name w:val="_tgc"/>
    <w:basedOn w:val="DefaultParagraphFont"/>
    <w:rsid w:val="001354BE"/>
  </w:style>
  <w:style w:type="character" w:customStyle="1" w:styleId="Heading3Char">
    <w:name w:val="Heading 3 Char"/>
    <w:basedOn w:val="DefaultParagraphFont"/>
    <w:link w:val="Heading3"/>
    <w:uiPriority w:val="9"/>
    <w:semiHidden/>
    <w:rsid w:val="0083437E"/>
    <w:rPr>
      <w:rFonts w:asciiTheme="majorHAnsi" w:eastAsiaTheme="majorEastAsia" w:hAnsiTheme="majorHAnsi" w:cstheme="majorBidi"/>
      <w:b/>
      <w:bCs/>
      <w:color w:val="4F81BD" w:themeColor="accent1"/>
      <w:sz w:val="28"/>
      <w:szCs w:val="22"/>
      <w:lang w:eastAsia="en-US"/>
    </w:rPr>
  </w:style>
  <w:style w:type="character" w:customStyle="1" w:styleId="Heading4Char">
    <w:name w:val="Heading 4 Char"/>
    <w:basedOn w:val="DefaultParagraphFont"/>
    <w:link w:val="Heading4"/>
    <w:uiPriority w:val="9"/>
    <w:semiHidden/>
    <w:rsid w:val="0083437E"/>
    <w:rPr>
      <w:rFonts w:asciiTheme="majorHAnsi" w:eastAsiaTheme="majorEastAsia" w:hAnsiTheme="majorHAnsi" w:cstheme="majorBidi"/>
      <w:b/>
      <w:bCs/>
      <w:i/>
      <w:iCs/>
      <w:color w:val="4F81BD" w:themeColor="accent1"/>
      <w:sz w:val="28"/>
      <w:szCs w:val="22"/>
      <w:lang w:eastAsia="en-US"/>
    </w:rPr>
  </w:style>
  <w:style w:type="paragraph" w:customStyle="1" w:styleId="WUBullets">
    <w:name w:val="&gt; WU Bullets"/>
    <w:basedOn w:val="Normal"/>
    <w:uiPriority w:val="99"/>
    <w:rsid w:val="00DE205C"/>
    <w:pPr>
      <w:numPr>
        <w:numId w:val="1"/>
      </w:numPr>
      <w:spacing w:after="80" w:line="312" w:lineRule="auto"/>
      <w:ind w:left="850" w:hanging="425"/>
    </w:pPr>
    <w:rPr>
      <w:rFonts w:eastAsiaTheme="minorHAnsi" w:cs="Arial"/>
      <w:color w:val="000000"/>
      <w:lang w:eastAsia="en-GB"/>
    </w:rPr>
  </w:style>
  <w:style w:type="character" w:customStyle="1" w:styleId="st1">
    <w:name w:val="st1"/>
    <w:basedOn w:val="DefaultParagraphFont"/>
    <w:rsid w:val="009439CB"/>
  </w:style>
  <w:style w:type="paragraph" w:styleId="FootnoteText">
    <w:name w:val="footnote text"/>
    <w:aliases w:val="Footnote Text Char Char,Footnote Text Char1 Char Char,Footnote Text Char Char Char Char,Footnote Text Char1 Char Char Char Char,Footnote Char Char Char Char Char,Footnote Text Char Char Char Char Char Char,FA Fu,Footnote Text Char1, Char"/>
    <w:basedOn w:val="Normal"/>
    <w:link w:val="FootnoteTextChar"/>
    <w:uiPriority w:val="99"/>
    <w:unhideWhenUsed/>
    <w:qFormat/>
    <w:rsid w:val="00A2116F"/>
    <w:rPr>
      <w:sz w:val="20"/>
      <w:szCs w:val="20"/>
    </w:rPr>
  </w:style>
  <w:style w:type="character" w:customStyle="1" w:styleId="FootnoteTextChar">
    <w:name w:val="Footnote Text Char"/>
    <w:aliases w:val="Footnote Text Char Char Char,Footnote Text Char1 Char Char Char,Footnote Text Char Char Char Char Char,Footnote Text Char1 Char Char Char Char Char,Footnote Char Char Char Char Char Char,FA Fu Char,Footnote Text Char1 Char, Char Char"/>
    <w:basedOn w:val="DefaultParagraphFont"/>
    <w:link w:val="FootnoteText"/>
    <w:uiPriority w:val="99"/>
    <w:rsid w:val="00A2116F"/>
    <w:rPr>
      <w:rFonts w:ascii="Arial" w:hAnsi="Arial"/>
      <w:lang w:eastAsia="en-US"/>
    </w:rPr>
  </w:style>
  <w:style w:type="character" w:styleId="FootnoteReference">
    <w:name w:val="footnote reference"/>
    <w:aliases w:val="Footnotes refss,Footnote Reference in text,Footnote Reference Superscript,Appel note de bas de p.,*Footnote Reference,Odwołanie przypisu,Footnote symbol,Footnote Reference Number,Appel note de bas de p,Black,(NECG) Footnote Reference"/>
    <w:basedOn w:val="DefaultParagraphFont"/>
    <w:link w:val="4GChar"/>
    <w:uiPriority w:val="99"/>
    <w:unhideWhenUsed/>
    <w:qFormat/>
    <w:rsid w:val="00A2116F"/>
    <w:rPr>
      <w:vertAlign w:val="superscript"/>
    </w:rPr>
  </w:style>
  <w:style w:type="character" w:customStyle="1" w:styleId="IndentedcontentitemChar">
    <w:name w:val="&gt; Indented content item Char"/>
    <w:basedOn w:val="DefaultParagraphFont"/>
    <w:link w:val="Indentedcontentitem"/>
    <w:uiPriority w:val="1"/>
    <w:locked/>
    <w:rsid w:val="00A50AC6"/>
    <w:rPr>
      <w:rFonts w:ascii="Arial" w:hAnsi="Arial" w:cs="Arial"/>
    </w:rPr>
  </w:style>
  <w:style w:type="paragraph" w:customStyle="1" w:styleId="Indentedcontentitem">
    <w:name w:val="&gt; Indented content item"/>
    <w:basedOn w:val="Normal"/>
    <w:link w:val="IndentedcontentitemChar"/>
    <w:uiPriority w:val="1"/>
    <w:rsid w:val="00A50AC6"/>
    <w:pPr>
      <w:spacing w:after="100" w:line="312" w:lineRule="auto"/>
      <w:ind w:left="284"/>
    </w:pPr>
    <w:rPr>
      <w:rFonts w:cs="Arial"/>
      <w:sz w:val="20"/>
      <w:szCs w:val="20"/>
      <w:lang w:eastAsia="en-GB"/>
    </w:rPr>
  </w:style>
  <w:style w:type="paragraph" w:styleId="Revision">
    <w:name w:val="Revision"/>
    <w:hidden/>
    <w:uiPriority w:val="99"/>
    <w:semiHidden/>
    <w:rsid w:val="00F1084B"/>
    <w:rPr>
      <w:rFonts w:ascii="Arial" w:hAnsi="Arial"/>
      <w:sz w:val="28"/>
      <w:szCs w:val="22"/>
      <w:lang w:eastAsia="en-US"/>
    </w:rPr>
  </w:style>
  <w:style w:type="paragraph" w:customStyle="1" w:styleId="WULastbullet">
    <w:name w:val="&gt; WU Last bullet"/>
    <w:basedOn w:val="Normal"/>
    <w:uiPriority w:val="3"/>
    <w:rsid w:val="00740E63"/>
    <w:pPr>
      <w:spacing w:line="312" w:lineRule="auto"/>
      <w:ind w:left="1004" w:hanging="360"/>
    </w:pPr>
    <w:rPr>
      <w:rFonts w:eastAsiaTheme="minorHAnsi" w:cs="Arial"/>
      <w:color w:val="000000"/>
      <w:lang w:eastAsia="en-GB"/>
    </w:rPr>
  </w:style>
  <w:style w:type="paragraph" w:customStyle="1" w:styleId="Parabeforeanother">
    <w:name w:val="&gt; Para before another"/>
    <w:basedOn w:val="Normal"/>
    <w:qFormat/>
    <w:rsid w:val="00425D00"/>
    <w:pPr>
      <w:spacing w:after="160" w:line="312" w:lineRule="auto"/>
    </w:pPr>
    <w:rPr>
      <w:rFonts w:cs="Arial"/>
    </w:rPr>
  </w:style>
  <w:style w:type="paragraph" w:customStyle="1" w:styleId="Parabeforenewsection">
    <w:name w:val="&gt; Para before new section"/>
    <w:basedOn w:val="Parabeforeanother"/>
    <w:qFormat/>
    <w:rsid w:val="00425D00"/>
    <w:pPr>
      <w:spacing w:after="680"/>
    </w:pPr>
    <w:rPr>
      <w:rFonts w:cs="Times New Roman"/>
    </w:rPr>
  </w:style>
  <w:style w:type="paragraph" w:customStyle="1" w:styleId="Bullet-followedbyothers">
    <w:name w:val="&gt; Bullet - followed by others"/>
    <w:basedOn w:val="Normal"/>
    <w:qFormat/>
    <w:rsid w:val="00425D00"/>
    <w:pPr>
      <w:numPr>
        <w:numId w:val="2"/>
      </w:numPr>
      <w:spacing w:after="40" w:line="312" w:lineRule="auto"/>
      <w:ind w:left="340" w:hanging="340"/>
    </w:pPr>
  </w:style>
  <w:style w:type="paragraph" w:customStyle="1" w:styleId="Bullet-lastingroup">
    <w:name w:val="&gt; Bullet - last in group"/>
    <w:basedOn w:val="Bullet-followedbyothers"/>
    <w:qFormat/>
    <w:rsid w:val="00425D00"/>
    <w:pPr>
      <w:spacing w:after="240"/>
    </w:pPr>
  </w:style>
  <w:style w:type="paragraph" w:customStyle="1" w:styleId="Title-numberedsectionspurple">
    <w:name w:val="&gt;Title - numbered sections purple"/>
    <w:basedOn w:val="Normal"/>
    <w:qFormat/>
    <w:rsid w:val="00425D00"/>
    <w:pPr>
      <w:keepNext/>
      <w:keepLines/>
      <w:pBdr>
        <w:bottom w:val="dotted" w:sz="4" w:space="1" w:color="auto"/>
      </w:pBdr>
      <w:spacing w:after="340" w:line="312" w:lineRule="auto"/>
      <w:ind w:left="709" w:hanging="709"/>
      <w:outlineLvl w:val="1"/>
    </w:pPr>
    <w:rPr>
      <w:rFonts w:eastAsia="Times New Roman"/>
      <w:b/>
      <w:bCs/>
      <w:color w:val="AF1685"/>
      <w:szCs w:val="26"/>
    </w:rPr>
  </w:style>
  <w:style w:type="paragraph" w:customStyle="1" w:styleId="Bullets-standard">
    <w:name w:val="&gt; Bullets - standard"/>
    <w:basedOn w:val="Normal"/>
    <w:qFormat/>
    <w:rsid w:val="00872C8D"/>
    <w:pPr>
      <w:numPr>
        <w:numId w:val="3"/>
      </w:numPr>
      <w:spacing w:after="60" w:line="312" w:lineRule="auto"/>
    </w:pPr>
    <w:rPr>
      <w:rFonts w:cs="Arial"/>
      <w:szCs w:val="28"/>
      <w:lang w:eastAsia="en-GB"/>
    </w:rPr>
  </w:style>
  <w:style w:type="table" w:customStyle="1" w:styleId="TableGrid1">
    <w:name w:val="Table Grid1"/>
    <w:basedOn w:val="TableNormal"/>
    <w:next w:val="TableGrid"/>
    <w:uiPriority w:val="59"/>
    <w:rsid w:val="00C16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C1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8">
    <w:name w:val="s8"/>
    <w:basedOn w:val="DefaultParagraphFont"/>
    <w:rsid w:val="00C64D85"/>
  </w:style>
  <w:style w:type="character" w:styleId="Emphasis">
    <w:name w:val="Emphasis"/>
    <w:basedOn w:val="DefaultParagraphFont"/>
    <w:uiPriority w:val="20"/>
    <w:qFormat/>
    <w:rsid w:val="00160E65"/>
    <w:rPr>
      <w:i/>
      <w:iCs/>
    </w:rPr>
  </w:style>
  <w:style w:type="paragraph" w:customStyle="1" w:styleId="4GChar">
    <w:name w:val="4_G Char"/>
    <w:aliases w:val="Footnote Reference1 Char,Footnotes refss Char,ftref Char,BVI fnr Char,BVI fnr Car Car Char,BVI fnr Car Char,BVI fnr Car Car Car Car Char,BVI fnr Char Car Car Car Char,ftref,BVI fnr Car Car,BVI fnr Car"/>
    <w:basedOn w:val="Normal"/>
    <w:link w:val="FootnoteReference"/>
    <w:uiPriority w:val="99"/>
    <w:rsid w:val="00596549"/>
    <w:pPr>
      <w:spacing w:after="160" w:line="240" w:lineRule="exact"/>
      <w:jc w:val="both"/>
    </w:pPr>
    <w:rPr>
      <w:rFonts w:ascii="Calibri" w:hAnsi="Calibri"/>
      <w:sz w:val="20"/>
      <w:szCs w:val="20"/>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7854">
      <w:bodyDiv w:val="1"/>
      <w:marLeft w:val="0"/>
      <w:marRight w:val="0"/>
      <w:marTop w:val="0"/>
      <w:marBottom w:val="0"/>
      <w:divBdr>
        <w:top w:val="none" w:sz="0" w:space="0" w:color="auto"/>
        <w:left w:val="none" w:sz="0" w:space="0" w:color="auto"/>
        <w:bottom w:val="none" w:sz="0" w:space="0" w:color="auto"/>
        <w:right w:val="none" w:sz="0" w:space="0" w:color="auto"/>
      </w:divBdr>
    </w:div>
    <w:div w:id="58524211">
      <w:bodyDiv w:val="1"/>
      <w:marLeft w:val="0"/>
      <w:marRight w:val="0"/>
      <w:marTop w:val="0"/>
      <w:marBottom w:val="0"/>
      <w:divBdr>
        <w:top w:val="none" w:sz="0" w:space="0" w:color="auto"/>
        <w:left w:val="none" w:sz="0" w:space="0" w:color="auto"/>
        <w:bottom w:val="none" w:sz="0" w:space="0" w:color="auto"/>
        <w:right w:val="none" w:sz="0" w:space="0" w:color="auto"/>
      </w:divBdr>
    </w:div>
    <w:div w:id="60908623">
      <w:bodyDiv w:val="1"/>
      <w:marLeft w:val="0"/>
      <w:marRight w:val="0"/>
      <w:marTop w:val="0"/>
      <w:marBottom w:val="0"/>
      <w:divBdr>
        <w:top w:val="none" w:sz="0" w:space="0" w:color="auto"/>
        <w:left w:val="none" w:sz="0" w:space="0" w:color="auto"/>
        <w:bottom w:val="none" w:sz="0" w:space="0" w:color="auto"/>
        <w:right w:val="none" w:sz="0" w:space="0" w:color="auto"/>
      </w:divBdr>
    </w:div>
    <w:div w:id="64957138">
      <w:bodyDiv w:val="1"/>
      <w:marLeft w:val="0"/>
      <w:marRight w:val="0"/>
      <w:marTop w:val="0"/>
      <w:marBottom w:val="0"/>
      <w:divBdr>
        <w:top w:val="none" w:sz="0" w:space="0" w:color="auto"/>
        <w:left w:val="none" w:sz="0" w:space="0" w:color="auto"/>
        <w:bottom w:val="none" w:sz="0" w:space="0" w:color="auto"/>
        <w:right w:val="none" w:sz="0" w:space="0" w:color="auto"/>
      </w:divBdr>
    </w:div>
    <w:div w:id="82730507">
      <w:bodyDiv w:val="1"/>
      <w:marLeft w:val="0"/>
      <w:marRight w:val="0"/>
      <w:marTop w:val="0"/>
      <w:marBottom w:val="0"/>
      <w:divBdr>
        <w:top w:val="none" w:sz="0" w:space="0" w:color="auto"/>
        <w:left w:val="none" w:sz="0" w:space="0" w:color="auto"/>
        <w:bottom w:val="none" w:sz="0" w:space="0" w:color="auto"/>
        <w:right w:val="none" w:sz="0" w:space="0" w:color="auto"/>
      </w:divBdr>
    </w:div>
    <w:div w:id="91630957">
      <w:bodyDiv w:val="1"/>
      <w:marLeft w:val="0"/>
      <w:marRight w:val="0"/>
      <w:marTop w:val="0"/>
      <w:marBottom w:val="0"/>
      <w:divBdr>
        <w:top w:val="none" w:sz="0" w:space="0" w:color="auto"/>
        <w:left w:val="none" w:sz="0" w:space="0" w:color="auto"/>
        <w:bottom w:val="none" w:sz="0" w:space="0" w:color="auto"/>
        <w:right w:val="none" w:sz="0" w:space="0" w:color="auto"/>
      </w:divBdr>
      <w:divsChild>
        <w:div w:id="36784357">
          <w:marLeft w:val="0"/>
          <w:marRight w:val="0"/>
          <w:marTop w:val="0"/>
          <w:marBottom w:val="0"/>
          <w:divBdr>
            <w:top w:val="none" w:sz="0" w:space="0" w:color="auto"/>
            <w:left w:val="none" w:sz="0" w:space="0" w:color="auto"/>
            <w:bottom w:val="none" w:sz="0" w:space="0" w:color="auto"/>
            <w:right w:val="none" w:sz="0" w:space="0" w:color="auto"/>
          </w:divBdr>
          <w:divsChild>
            <w:div w:id="1807354444">
              <w:marLeft w:val="0"/>
              <w:marRight w:val="0"/>
              <w:marTop w:val="0"/>
              <w:marBottom w:val="0"/>
              <w:divBdr>
                <w:top w:val="none" w:sz="0" w:space="0" w:color="auto"/>
                <w:left w:val="none" w:sz="0" w:space="0" w:color="auto"/>
                <w:bottom w:val="none" w:sz="0" w:space="0" w:color="auto"/>
                <w:right w:val="none" w:sz="0" w:space="0" w:color="auto"/>
              </w:divBdr>
              <w:divsChild>
                <w:div w:id="1435516628">
                  <w:marLeft w:val="0"/>
                  <w:marRight w:val="0"/>
                  <w:marTop w:val="0"/>
                  <w:marBottom w:val="0"/>
                  <w:divBdr>
                    <w:top w:val="none" w:sz="0" w:space="0" w:color="auto"/>
                    <w:left w:val="none" w:sz="0" w:space="0" w:color="auto"/>
                    <w:bottom w:val="none" w:sz="0" w:space="0" w:color="auto"/>
                    <w:right w:val="none" w:sz="0" w:space="0" w:color="auto"/>
                  </w:divBdr>
                  <w:divsChild>
                    <w:div w:id="1304890628">
                      <w:marLeft w:val="0"/>
                      <w:marRight w:val="0"/>
                      <w:marTop w:val="0"/>
                      <w:marBottom w:val="600"/>
                      <w:divBdr>
                        <w:top w:val="none" w:sz="0" w:space="0" w:color="auto"/>
                        <w:left w:val="none" w:sz="0" w:space="0" w:color="auto"/>
                        <w:bottom w:val="none" w:sz="0" w:space="0" w:color="auto"/>
                        <w:right w:val="none" w:sz="0" w:space="0" w:color="auto"/>
                      </w:divBdr>
                      <w:divsChild>
                        <w:div w:id="423116910">
                          <w:marLeft w:val="0"/>
                          <w:marRight w:val="0"/>
                          <w:marTop w:val="0"/>
                          <w:marBottom w:val="0"/>
                          <w:divBdr>
                            <w:top w:val="none" w:sz="0" w:space="0" w:color="auto"/>
                            <w:left w:val="none" w:sz="0" w:space="0" w:color="auto"/>
                            <w:bottom w:val="none" w:sz="0" w:space="0" w:color="auto"/>
                            <w:right w:val="none" w:sz="0" w:space="0" w:color="auto"/>
                          </w:divBdr>
                          <w:divsChild>
                            <w:div w:id="390929057">
                              <w:marLeft w:val="0"/>
                              <w:marRight w:val="0"/>
                              <w:marTop w:val="0"/>
                              <w:marBottom w:val="0"/>
                              <w:divBdr>
                                <w:top w:val="none" w:sz="0" w:space="0" w:color="auto"/>
                                <w:left w:val="none" w:sz="0" w:space="0" w:color="auto"/>
                                <w:bottom w:val="none" w:sz="0" w:space="0" w:color="auto"/>
                                <w:right w:val="none" w:sz="0" w:space="0" w:color="auto"/>
                              </w:divBdr>
                              <w:divsChild>
                                <w:div w:id="458643229">
                                  <w:blockQuote w:val="1"/>
                                  <w:marLeft w:val="0"/>
                                  <w:marRight w:val="0"/>
                                  <w:marTop w:val="0"/>
                                  <w:marBottom w:val="450"/>
                                  <w:divBdr>
                                    <w:top w:val="none" w:sz="0" w:space="0" w:color="auto"/>
                                    <w:left w:val="none" w:sz="0" w:space="0" w:color="auto"/>
                                    <w:bottom w:val="single" w:sz="12" w:space="15" w:color="FFFFFF"/>
                                    <w:right w:val="none" w:sz="0" w:space="0" w:color="auto"/>
                                  </w:divBdr>
                                </w:div>
                              </w:divsChild>
                            </w:div>
                          </w:divsChild>
                        </w:div>
                      </w:divsChild>
                    </w:div>
                  </w:divsChild>
                </w:div>
              </w:divsChild>
            </w:div>
          </w:divsChild>
        </w:div>
      </w:divsChild>
    </w:div>
    <w:div w:id="118191140">
      <w:bodyDiv w:val="1"/>
      <w:marLeft w:val="0"/>
      <w:marRight w:val="0"/>
      <w:marTop w:val="0"/>
      <w:marBottom w:val="0"/>
      <w:divBdr>
        <w:top w:val="none" w:sz="0" w:space="0" w:color="auto"/>
        <w:left w:val="none" w:sz="0" w:space="0" w:color="auto"/>
        <w:bottom w:val="none" w:sz="0" w:space="0" w:color="auto"/>
        <w:right w:val="none" w:sz="0" w:space="0" w:color="auto"/>
      </w:divBdr>
    </w:div>
    <w:div w:id="130370015">
      <w:bodyDiv w:val="1"/>
      <w:marLeft w:val="0"/>
      <w:marRight w:val="0"/>
      <w:marTop w:val="0"/>
      <w:marBottom w:val="0"/>
      <w:divBdr>
        <w:top w:val="none" w:sz="0" w:space="0" w:color="auto"/>
        <w:left w:val="none" w:sz="0" w:space="0" w:color="auto"/>
        <w:bottom w:val="none" w:sz="0" w:space="0" w:color="auto"/>
        <w:right w:val="none" w:sz="0" w:space="0" w:color="auto"/>
      </w:divBdr>
      <w:divsChild>
        <w:div w:id="787895606">
          <w:marLeft w:val="0"/>
          <w:marRight w:val="0"/>
          <w:marTop w:val="0"/>
          <w:marBottom w:val="0"/>
          <w:divBdr>
            <w:top w:val="none" w:sz="0" w:space="0" w:color="auto"/>
            <w:left w:val="none" w:sz="0" w:space="0" w:color="auto"/>
            <w:bottom w:val="none" w:sz="0" w:space="0" w:color="auto"/>
            <w:right w:val="none" w:sz="0" w:space="0" w:color="auto"/>
          </w:divBdr>
          <w:divsChild>
            <w:div w:id="839544414">
              <w:marLeft w:val="0"/>
              <w:marRight w:val="0"/>
              <w:marTop w:val="0"/>
              <w:marBottom w:val="0"/>
              <w:divBdr>
                <w:top w:val="none" w:sz="0" w:space="0" w:color="auto"/>
                <w:left w:val="none" w:sz="0" w:space="0" w:color="auto"/>
                <w:bottom w:val="none" w:sz="0" w:space="0" w:color="auto"/>
                <w:right w:val="none" w:sz="0" w:space="0" w:color="auto"/>
              </w:divBdr>
              <w:divsChild>
                <w:div w:id="1246186">
                  <w:marLeft w:val="150"/>
                  <w:marRight w:val="0"/>
                  <w:marTop w:val="0"/>
                  <w:marBottom w:val="0"/>
                  <w:divBdr>
                    <w:top w:val="none" w:sz="0" w:space="0" w:color="auto"/>
                    <w:left w:val="none" w:sz="0" w:space="0" w:color="auto"/>
                    <w:bottom w:val="none" w:sz="0" w:space="0" w:color="auto"/>
                    <w:right w:val="none" w:sz="0" w:space="0" w:color="auto"/>
                  </w:divBdr>
                  <w:divsChild>
                    <w:div w:id="1341083794">
                      <w:marLeft w:val="0"/>
                      <w:marRight w:val="0"/>
                      <w:marTop w:val="0"/>
                      <w:marBottom w:val="225"/>
                      <w:divBdr>
                        <w:top w:val="none" w:sz="0" w:space="0" w:color="auto"/>
                        <w:left w:val="none" w:sz="0" w:space="0" w:color="auto"/>
                        <w:bottom w:val="none" w:sz="0" w:space="0" w:color="auto"/>
                        <w:right w:val="none" w:sz="0" w:space="0" w:color="auto"/>
                      </w:divBdr>
                      <w:divsChild>
                        <w:div w:id="6081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21178">
      <w:bodyDiv w:val="1"/>
      <w:marLeft w:val="0"/>
      <w:marRight w:val="0"/>
      <w:marTop w:val="0"/>
      <w:marBottom w:val="0"/>
      <w:divBdr>
        <w:top w:val="none" w:sz="0" w:space="0" w:color="auto"/>
        <w:left w:val="none" w:sz="0" w:space="0" w:color="auto"/>
        <w:bottom w:val="none" w:sz="0" w:space="0" w:color="auto"/>
        <w:right w:val="none" w:sz="0" w:space="0" w:color="auto"/>
      </w:divBdr>
    </w:div>
    <w:div w:id="148328527">
      <w:bodyDiv w:val="1"/>
      <w:marLeft w:val="0"/>
      <w:marRight w:val="0"/>
      <w:marTop w:val="0"/>
      <w:marBottom w:val="0"/>
      <w:divBdr>
        <w:top w:val="none" w:sz="0" w:space="0" w:color="auto"/>
        <w:left w:val="none" w:sz="0" w:space="0" w:color="auto"/>
        <w:bottom w:val="none" w:sz="0" w:space="0" w:color="auto"/>
        <w:right w:val="none" w:sz="0" w:space="0" w:color="auto"/>
      </w:divBdr>
    </w:div>
    <w:div w:id="175660436">
      <w:bodyDiv w:val="1"/>
      <w:marLeft w:val="0"/>
      <w:marRight w:val="0"/>
      <w:marTop w:val="0"/>
      <w:marBottom w:val="0"/>
      <w:divBdr>
        <w:top w:val="none" w:sz="0" w:space="0" w:color="auto"/>
        <w:left w:val="none" w:sz="0" w:space="0" w:color="auto"/>
        <w:bottom w:val="none" w:sz="0" w:space="0" w:color="auto"/>
        <w:right w:val="none" w:sz="0" w:space="0" w:color="auto"/>
      </w:divBdr>
    </w:div>
    <w:div w:id="178008025">
      <w:bodyDiv w:val="1"/>
      <w:marLeft w:val="0"/>
      <w:marRight w:val="0"/>
      <w:marTop w:val="0"/>
      <w:marBottom w:val="0"/>
      <w:divBdr>
        <w:top w:val="none" w:sz="0" w:space="0" w:color="auto"/>
        <w:left w:val="none" w:sz="0" w:space="0" w:color="auto"/>
        <w:bottom w:val="none" w:sz="0" w:space="0" w:color="auto"/>
        <w:right w:val="none" w:sz="0" w:space="0" w:color="auto"/>
      </w:divBdr>
    </w:div>
    <w:div w:id="194779003">
      <w:bodyDiv w:val="1"/>
      <w:marLeft w:val="0"/>
      <w:marRight w:val="0"/>
      <w:marTop w:val="0"/>
      <w:marBottom w:val="0"/>
      <w:divBdr>
        <w:top w:val="none" w:sz="0" w:space="0" w:color="auto"/>
        <w:left w:val="none" w:sz="0" w:space="0" w:color="auto"/>
        <w:bottom w:val="none" w:sz="0" w:space="0" w:color="auto"/>
        <w:right w:val="none" w:sz="0" w:space="0" w:color="auto"/>
      </w:divBdr>
    </w:div>
    <w:div w:id="196352618">
      <w:bodyDiv w:val="1"/>
      <w:marLeft w:val="0"/>
      <w:marRight w:val="0"/>
      <w:marTop w:val="0"/>
      <w:marBottom w:val="0"/>
      <w:divBdr>
        <w:top w:val="none" w:sz="0" w:space="0" w:color="auto"/>
        <w:left w:val="none" w:sz="0" w:space="0" w:color="auto"/>
        <w:bottom w:val="none" w:sz="0" w:space="0" w:color="auto"/>
        <w:right w:val="none" w:sz="0" w:space="0" w:color="auto"/>
      </w:divBdr>
    </w:div>
    <w:div w:id="200943977">
      <w:bodyDiv w:val="1"/>
      <w:marLeft w:val="0"/>
      <w:marRight w:val="0"/>
      <w:marTop w:val="0"/>
      <w:marBottom w:val="0"/>
      <w:divBdr>
        <w:top w:val="none" w:sz="0" w:space="0" w:color="auto"/>
        <w:left w:val="none" w:sz="0" w:space="0" w:color="auto"/>
        <w:bottom w:val="none" w:sz="0" w:space="0" w:color="auto"/>
        <w:right w:val="none" w:sz="0" w:space="0" w:color="auto"/>
      </w:divBdr>
      <w:divsChild>
        <w:div w:id="347947843">
          <w:marLeft w:val="475"/>
          <w:marRight w:val="0"/>
          <w:marTop w:val="115"/>
          <w:marBottom w:val="0"/>
          <w:divBdr>
            <w:top w:val="none" w:sz="0" w:space="0" w:color="auto"/>
            <w:left w:val="none" w:sz="0" w:space="0" w:color="auto"/>
            <w:bottom w:val="none" w:sz="0" w:space="0" w:color="auto"/>
            <w:right w:val="none" w:sz="0" w:space="0" w:color="auto"/>
          </w:divBdr>
        </w:div>
      </w:divsChild>
    </w:div>
    <w:div w:id="204222664">
      <w:bodyDiv w:val="1"/>
      <w:marLeft w:val="0"/>
      <w:marRight w:val="0"/>
      <w:marTop w:val="0"/>
      <w:marBottom w:val="0"/>
      <w:divBdr>
        <w:top w:val="none" w:sz="0" w:space="0" w:color="auto"/>
        <w:left w:val="none" w:sz="0" w:space="0" w:color="auto"/>
        <w:bottom w:val="none" w:sz="0" w:space="0" w:color="auto"/>
        <w:right w:val="none" w:sz="0" w:space="0" w:color="auto"/>
      </w:divBdr>
    </w:div>
    <w:div w:id="211507206">
      <w:bodyDiv w:val="1"/>
      <w:marLeft w:val="0"/>
      <w:marRight w:val="0"/>
      <w:marTop w:val="0"/>
      <w:marBottom w:val="0"/>
      <w:divBdr>
        <w:top w:val="none" w:sz="0" w:space="0" w:color="auto"/>
        <w:left w:val="none" w:sz="0" w:space="0" w:color="auto"/>
        <w:bottom w:val="none" w:sz="0" w:space="0" w:color="auto"/>
        <w:right w:val="none" w:sz="0" w:space="0" w:color="auto"/>
      </w:divBdr>
    </w:div>
    <w:div w:id="227110000">
      <w:bodyDiv w:val="1"/>
      <w:marLeft w:val="0"/>
      <w:marRight w:val="0"/>
      <w:marTop w:val="0"/>
      <w:marBottom w:val="0"/>
      <w:divBdr>
        <w:top w:val="none" w:sz="0" w:space="0" w:color="auto"/>
        <w:left w:val="none" w:sz="0" w:space="0" w:color="auto"/>
        <w:bottom w:val="none" w:sz="0" w:space="0" w:color="auto"/>
        <w:right w:val="none" w:sz="0" w:space="0" w:color="auto"/>
      </w:divBdr>
      <w:divsChild>
        <w:div w:id="716243098">
          <w:marLeft w:val="562"/>
          <w:marRight w:val="0"/>
          <w:marTop w:val="0"/>
          <w:marBottom w:val="120"/>
          <w:divBdr>
            <w:top w:val="none" w:sz="0" w:space="0" w:color="auto"/>
            <w:left w:val="none" w:sz="0" w:space="0" w:color="auto"/>
            <w:bottom w:val="none" w:sz="0" w:space="0" w:color="auto"/>
            <w:right w:val="none" w:sz="0" w:space="0" w:color="auto"/>
          </w:divBdr>
        </w:div>
        <w:div w:id="733895092">
          <w:marLeft w:val="562"/>
          <w:marRight w:val="0"/>
          <w:marTop w:val="0"/>
          <w:marBottom w:val="120"/>
          <w:divBdr>
            <w:top w:val="none" w:sz="0" w:space="0" w:color="auto"/>
            <w:left w:val="none" w:sz="0" w:space="0" w:color="auto"/>
            <w:bottom w:val="none" w:sz="0" w:space="0" w:color="auto"/>
            <w:right w:val="none" w:sz="0" w:space="0" w:color="auto"/>
          </w:divBdr>
        </w:div>
        <w:div w:id="738986629">
          <w:marLeft w:val="562"/>
          <w:marRight w:val="0"/>
          <w:marTop w:val="0"/>
          <w:marBottom w:val="120"/>
          <w:divBdr>
            <w:top w:val="none" w:sz="0" w:space="0" w:color="auto"/>
            <w:left w:val="none" w:sz="0" w:space="0" w:color="auto"/>
            <w:bottom w:val="none" w:sz="0" w:space="0" w:color="auto"/>
            <w:right w:val="none" w:sz="0" w:space="0" w:color="auto"/>
          </w:divBdr>
        </w:div>
        <w:div w:id="994454003">
          <w:marLeft w:val="562"/>
          <w:marRight w:val="0"/>
          <w:marTop w:val="0"/>
          <w:marBottom w:val="120"/>
          <w:divBdr>
            <w:top w:val="none" w:sz="0" w:space="0" w:color="auto"/>
            <w:left w:val="none" w:sz="0" w:space="0" w:color="auto"/>
            <w:bottom w:val="none" w:sz="0" w:space="0" w:color="auto"/>
            <w:right w:val="none" w:sz="0" w:space="0" w:color="auto"/>
          </w:divBdr>
        </w:div>
        <w:div w:id="1074357597">
          <w:marLeft w:val="562"/>
          <w:marRight w:val="0"/>
          <w:marTop w:val="0"/>
          <w:marBottom w:val="120"/>
          <w:divBdr>
            <w:top w:val="none" w:sz="0" w:space="0" w:color="auto"/>
            <w:left w:val="none" w:sz="0" w:space="0" w:color="auto"/>
            <w:bottom w:val="none" w:sz="0" w:space="0" w:color="auto"/>
            <w:right w:val="none" w:sz="0" w:space="0" w:color="auto"/>
          </w:divBdr>
        </w:div>
        <w:div w:id="1121076884">
          <w:marLeft w:val="562"/>
          <w:marRight w:val="0"/>
          <w:marTop w:val="0"/>
          <w:marBottom w:val="120"/>
          <w:divBdr>
            <w:top w:val="none" w:sz="0" w:space="0" w:color="auto"/>
            <w:left w:val="none" w:sz="0" w:space="0" w:color="auto"/>
            <w:bottom w:val="none" w:sz="0" w:space="0" w:color="auto"/>
            <w:right w:val="none" w:sz="0" w:space="0" w:color="auto"/>
          </w:divBdr>
        </w:div>
        <w:div w:id="1375304462">
          <w:marLeft w:val="562"/>
          <w:marRight w:val="0"/>
          <w:marTop w:val="0"/>
          <w:marBottom w:val="120"/>
          <w:divBdr>
            <w:top w:val="none" w:sz="0" w:space="0" w:color="auto"/>
            <w:left w:val="none" w:sz="0" w:space="0" w:color="auto"/>
            <w:bottom w:val="none" w:sz="0" w:space="0" w:color="auto"/>
            <w:right w:val="none" w:sz="0" w:space="0" w:color="auto"/>
          </w:divBdr>
        </w:div>
        <w:div w:id="1388454492">
          <w:marLeft w:val="562"/>
          <w:marRight w:val="0"/>
          <w:marTop w:val="0"/>
          <w:marBottom w:val="120"/>
          <w:divBdr>
            <w:top w:val="none" w:sz="0" w:space="0" w:color="auto"/>
            <w:left w:val="none" w:sz="0" w:space="0" w:color="auto"/>
            <w:bottom w:val="none" w:sz="0" w:space="0" w:color="auto"/>
            <w:right w:val="none" w:sz="0" w:space="0" w:color="auto"/>
          </w:divBdr>
        </w:div>
        <w:div w:id="1796365560">
          <w:marLeft w:val="562"/>
          <w:marRight w:val="0"/>
          <w:marTop w:val="0"/>
          <w:marBottom w:val="120"/>
          <w:divBdr>
            <w:top w:val="none" w:sz="0" w:space="0" w:color="auto"/>
            <w:left w:val="none" w:sz="0" w:space="0" w:color="auto"/>
            <w:bottom w:val="none" w:sz="0" w:space="0" w:color="auto"/>
            <w:right w:val="none" w:sz="0" w:space="0" w:color="auto"/>
          </w:divBdr>
        </w:div>
        <w:div w:id="1834755665">
          <w:marLeft w:val="562"/>
          <w:marRight w:val="0"/>
          <w:marTop w:val="0"/>
          <w:marBottom w:val="120"/>
          <w:divBdr>
            <w:top w:val="none" w:sz="0" w:space="0" w:color="auto"/>
            <w:left w:val="none" w:sz="0" w:space="0" w:color="auto"/>
            <w:bottom w:val="none" w:sz="0" w:space="0" w:color="auto"/>
            <w:right w:val="none" w:sz="0" w:space="0" w:color="auto"/>
          </w:divBdr>
        </w:div>
      </w:divsChild>
    </w:div>
    <w:div w:id="246768062">
      <w:bodyDiv w:val="1"/>
      <w:marLeft w:val="0"/>
      <w:marRight w:val="0"/>
      <w:marTop w:val="0"/>
      <w:marBottom w:val="0"/>
      <w:divBdr>
        <w:top w:val="none" w:sz="0" w:space="0" w:color="auto"/>
        <w:left w:val="none" w:sz="0" w:space="0" w:color="auto"/>
        <w:bottom w:val="none" w:sz="0" w:space="0" w:color="auto"/>
        <w:right w:val="none" w:sz="0" w:space="0" w:color="auto"/>
      </w:divBdr>
    </w:div>
    <w:div w:id="248778338">
      <w:bodyDiv w:val="1"/>
      <w:marLeft w:val="0"/>
      <w:marRight w:val="0"/>
      <w:marTop w:val="0"/>
      <w:marBottom w:val="0"/>
      <w:divBdr>
        <w:top w:val="none" w:sz="0" w:space="0" w:color="auto"/>
        <w:left w:val="none" w:sz="0" w:space="0" w:color="auto"/>
        <w:bottom w:val="none" w:sz="0" w:space="0" w:color="auto"/>
        <w:right w:val="none" w:sz="0" w:space="0" w:color="auto"/>
      </w:divBdr>
    </w:div>
    <w:div w:id="250816774">
      <w:bodyDiv w:val="1"/>
      <w:marLeft w:val="0"/>
      <w:marRight w:val="0"/>
      <w:marTop w:val="0"/>
      <w:marBottom w:val="0"/>
      <w:divBdr>
        <w:top w:val="none" w:sz="0" w:space="0" w:color="auto"/>
        <w:left w:val="none" w:sz="0" w:space="0" w:color="auto"/>
        <w:bottom w:val="none" w:sz="0" w:space="0" w:color="auto"/>
        <w:right w:val="none" w:sz="0" w:space="0" w:color="auto"/>
      </w:divBdr>
    </w:div>
    <w:div w:id="256790764">
      <w:bodyDiv w:val="1"/>
      <w:marLeft w:val="0"/>
      <w:marRight w:val="0"/>
      <w:marTop w:val="0"/>
      <w:marBottom w:val="0"/>
      <w:divBdr>
        <w:top w:val="none" w:sz="0" w:space="0" w:color="auto"/>
        <w:left w:val="none" w:sz="0" w:space="0" w:color="auto"/>
        <w:bottom w:val="none" w:sz="0" w:space="0" w:color="auto"/>
        <w:right w:val="none" w:sz="0" w:space="0" w:color="auto"/>
      </w:divBdr>
    </w:div>
    <w:div w:id="267809755">
      <w:bodyDiv w:val="1"/>
      <w:marLeft w:val="0"/>
      <w:marRight w:val="0"/>
      <w:marTop w:val="0"/>
      <w:marBottom w:val="0"/>
      <w:divBdr>
        <w:top w:val="none" w:sz="0" w:space="0" w:color="auto"/>
        <w:left w:val="none" w:sz="0" w:space="0" w:color="auto"/>
        <w:bottom w:val="none" w:sz="0" w:space="0" w:color="auto"/>
        <w:right w:val="none" w:sz="0" w:space="0" w:color="auto"/>
      </w:divBdr>
    </w:div>
    <w:div w:id="272564724">
      <w:bodyDiv w:val="1"/>
      <w:marLeft w:val="0"/>
      <w:marRight w:val="0"/>
      <w:marTop w:val="0"/>
      <w:marBottom w:val="0"/>
      <w:divBdr>
        <w:top w:val="none" w:sz="0" w:space="0" w:color="auto"/>
        <w:left w:val="none" w:sz="0" w:space="0" w:color="auto"/>
        <w:bottom w:val="none" w:sz="0" w:space="0" w:color="auto"/>
        <w:right w:val="none" w:sz="0" w:space="0" w:color="auto"/>
      </w:divBdr>
    </w:div>
    <w:div w:id="280574970">
      <w:bodyDiv w:val="1"/>
      <w:marLeft w:val="0"/>
      <w:marRight w:val="0"/>
      <w:marTop w:val="0"/>
      <w:marBottom w:val="0"/>
      <w:divBdr>
        <w:top w:val="none" w:sz="0" w:space="0" w:color="auto"/>
        <w:left w:val="none" w:sz="0" w:space="0" w:color="auto"/>
        <w:bottom w:val="none" w:sz="0" w:space="0" w:color="auto"/>
        <w:right w:val="none" w:sz="0" w:space="0" w:color="auto"/>
      </w:divBdr>
    </w:div>
    <w:div w:id="287901638">
      <w:bodyDiv w:val="1"/>
      <w:marLeft w:val="0"/>
      <w:marRight w:val="0"/>
      <w:marTop w:val="0"/>
      <w:marBottom w:val="0"/>
      <w:divBdr>
        <w:top w:val="none" w:sz="0" w:space="0" w:color="auto"/>
        <w:left w:val="none" w:sz="0" w:space="0" w:color="auto"/>
        <w:bottom w:val="none" w:sz="0" w:space="0" w:color="auto"/>
        <w:right w:val="none" w:sz="0" w:space="0" w:color="auto"/>
      </w:divBdr>
    </w:div>
    <w:div w:id="321158451">
      <w:bodyDiv w:val="1"/>
      <w:marLeft w:val="0"/>
      <w:marRight w:val="0"/>
      <w:marTop w:val="0"/>
      <w:marBottom w:val="0"/>
      <w:divBdr>
        <w:top w:val="none" w:sz="0" w:space="0" w:color="auto"/>
        <w:left w:val="none" w:sz="0" w:space="0" w:color="auto"/>
        <w:bottom w:val="none" w:sz="0" w:space="0" w:color="auto"/>
        <w:right w:val="none" w:sz="0" w:space="0" w:color="auto"/>
      </w:divBdr>
    </w:div>
    <w:div w:id="323628248">
      <w:bodyDiv w:val="1"/>
      <w:marLeft w:val="0"/>
      <w:marRight w:val="0"/>
      <w:marTop w:val="0"/>
      <w:marBottom w:val="0"/>
      <w:divBdr>
        <w:top w:val="none" w:sz="0" w:space="0" w:color="auto"/>
        <w:left w:val="none" w:sz="0" w:space="0" w:color="auto"/>
        <w:bottom w:val="none" w:sz="0" w:space="0" w:color="auto"/>
        <w:right w:val="none" w:sz="0" w:space="0" w:color="auto"/>
      </w:divBdr>
    </w:div>
    <w:div w:id="340934741">
      <w:bodyDiv w:val="1"/>
      <w:marLeft w:val="0"/>
      <w:marRight w:val="0"/>
      <w:marTop w:val="0"/>
      <w:marBottom w:val="0"/>
      <w:divBdr>
        <w:top w:val="none" w:sz="0" w:space="0" w:color="auto"/>
        <w:left w:val="none" w:sz="0" w:space="0" w:color="auto"/>
        <w:bottom w:val="none" w:sz="0" w:space="0" w:color="auto"/>
        <w:right w:val="none" w:sz="0" w:space="0" w:color="auto"/>
      </w:divBdr>
    </w:div>
    <w:div w:id="355084802">
      <w:bodyDiv w:val="1"/>
      <w:marLeft w:val="0"/>
      <w:marRight w:val="0"/>
      <w:marTop w:val="0"/>
      <w:marBottom w:val="0"/>
      <w:divBdr>
        <w:top w:val="none" w:sz="0" w:space="0" w:color="auto"/>
        <w:left w:val="none" w:sz="0" w:space="0" w:color="auto"/>
        <w:bottom w:val="none" w:sz="0" w:space="0" w:color="auto"/>
        <w:right w:val="none" w:sz="0" w:space="0" w:color="auto"/>
      </w:divBdr>
    </w:div>
    <w:div w:id="356851732">
      <w:bodyDiv w:val="1"/>
      <w:marLeft w:val="0"/>
      <w:marRight w:val="0"/>
      <w:marTop w:val="0"/>
      <w:marBottom w:val="0"/>
      <w:divBdr>
        <w:top w:val="none" w:sz="0" w:space="0" w:color="auto"/>
        <w:left w:val="none" w:sz="0" w:space="0" w:color="auto"/>
        <w:bottom w:val="none" w:sz="0" w:space="0" w:color="auto"/>
        <w:right w:val="none" w:sz="0" w:space="0" w:color="auto"/>
      </w:divBdr>
    </w:div>
    <w:div w:id="372578367">
      <w:bodyDiv w:val="1"/>
      <w:marLeft w:val="0"/>
      <w:marRight w:val="0"/>
      <w:marTop w:val="0"/>
      <w:marBottom w:val="0"/>
      <w:divBdr>
        <w:top w:val="none" w:sz="0" w:space="0" w:color="auto"/>
        <w:left w:val="none" w:sz="0" w:space="0" w:color="auto"/>
        <w:bottom w:val="none" w:sz="0" w:space="0" w:color="auto"/>
        <w:right w:val="none" w:sz="0" w:space="0" w:color="auto"/>
      </w:divBdr>
    </w:div>
    <w:div w:id="398600774">
      <w:marLeft w:val="0"/>
      <w:marRight w:val="0"/>
      <w:marTop w:val="0"/>
      <w:marBottom w:val="0"/>
      <w:divBdr>
        <w:top w:val="none" w:sz="0" w:space="0" w:color="auto"/>
        <w:left w:val="none" w:sz="0" w:space="0" w:color="auto"/>
        <w:bottom w:val="none" w:sz="0" w:space="0" w:color="auto"/>
        <w:right w:val="none" w:sz="0" w:space="0" w:color="auto"/>
      </w:divBdr>
      <w:divsChild>
        <w:div w:id="1172599790">
          <w:marLeft w:val="-225"/>
          <w:marRight w:val="-225"/>
          <w:marTop w:val="0"/>
          <w:marBottom w:val="0"/>
          <w:divBdr>
            <w:top w:val="none" w:sz="0" w:space="0" w:color="auto"/>
            <w:left w:val="none" w:sz="0" w:space="0" w:color="auto"/>
            <w:bottom w:val="none" w:sz="0" w:space="0" w:color="auto"/>
            <w:right w:val="none" w:sz="0" w:space="0" w:color="auto"/>
          </w:divBdr>
          <w:divsChild>
            <w:div w:id="1925218011">
              <w:marLeft w:val="0"/>
              <w:marRight w:val="0"/>
              <w:marTop w:val="0"/>
              <w:marBottom w:val="0"/>
              <w:divBdr>
                <w:top w:val="none" w:sz="0" w:space="0" w:color="auto"/>
                <w:left w:val="none" w:sz="0" w:space="0" w:color="auto"/>
                <w:bottom w:val="none" w:sz="0" w:space="0" w:color="auto"/>
                <w:right w:val="none" w:sz="0" w:space="0" w:color="auto"/>
              </w:divBdr>
              <w:divsChild>
                <w:div w:id="310451628">
                  <w:marLeft w:val="0"/>
                  <w:marRight w:val="0"/>
                  <w:marTop w:val="0"/>
                  <w:marBottom w:val="0"/>
                  <w:divBdr>
                    <w:top w:val="none" w:sz="0" w:space="0" w:color="auto"/>
                    <w:left w:val="none" w:sz="0" w:space="0" w:color="auto"/>
                    <w:bottom w:val="none" w:sz="0" w:space="0" w:color="auto"/>
                    <w:right w:val="none" w:sz="0" w:space="0" w:color="auto"/>
                  </w:divBdr>
                  <w:divsChild>
                    <w:div w:id="715933628">
                      <w:marLeft w:val="0"/>
                      <w:marRight w:val="0"/>
                      <w:marTop w:val="0"/>
                      <w:marBottom w:val="0"/>
                      <w:divBdr>
                        <w:top w:val="none" w:sz="0" w:space="0" w:color="auto"/>
                        <w:left w:val="none" w:sz="0" w:space="0" w:color="auto"/>
                        <w:bottom w:val="none" w:sz="0" w:space="0" w:color="auto"/>
                        <w:right w:val="none" w:sz="0" w:space="0" w:color="auto"/>
                      </w:divBdr>
                      <w:divsChild>
                        <w:div w:id="1811435543">
                          <w:marLeft w:val="0"/>
                          <w:marRight w:val="0"/>
                          <w:marTop w:val="0"/>
                          <w:marBottom w:val="0"/>
                          <w:divBdr>
                            <w:top w:val="none" w:sz="0" w:space="0" w:color="auto"/>
                            <w:left w:val="none" w:sz="0" w:space="0" w:color="auto"/>
                            <w:bottom w:val="none" w:sz="0" w:space="0" w:color="auto"/>
                            <w:right w:val="none" w:sz="0" w:space="0" w:color="auto"/>
                          </w:divBdr>
                          <w:divsChild>
                            <w:div w:id="815490151">
                              <w:marLeft w:val="0"/>
                              <w:marRight w:val="0"/>
                              <w:marTop w:val="0"/>
                              <w:marBottom w:val="0"/>
                              <w:divBdr>
                                <w:top w:val="none" w:sz="0" w:space="0" w:color="auto"/>
                                <w:left w:val="none" w:sz="0" w:space="0" w:color="auto"/>
                                <w:bottom w:val="none" w:sz="0" w:space="0" w:color="auto"/>
                                <w:right w:val="none" w:sz="0" w:space="0" w:color="auto"/>
                              </w:divBdr>
                              <w:divsChild>
                                <w:div w:id="831799508">
                                  <w:marLeft w:val="0"/>
                                  <w:marRight w:val="0"/>
                                  <w:marTop w:val="0"/>
                                  <w:marBottom w:val="0"/>
                                  <w:divBdr>
                                    <w:top w:val="none" w:sz="0" w:space="0" w:color="auto"/>
                                    <w:left w:val="none" w:sz="0" w:space="0" w:color="auto"/>
                                    <w:bottom w:val="none" w:sz="0" w:space="0" w:color="auto"/>
                                    <w:right w:val="none" w:sz="0" w:space="0" w:color="auto"/>
                                  </w:divBdr>
                                  <w:divsChild>
                                    <w:div w:id="146747609">
                                      <w:marLeft w:val="0"/>
                                      <w:marRight w:val="0"/>
                                      <w:marTop w:val="0"/>
                                      <w:marBottom w:val="0"/>
                                      <w:divBdr>
                                        <w:top w:val="none" w:sz="0" w:space="0" w:color="auto"/>
                                        <w:left w:val="none" w:sz="0" w:space="0" w:color="auto"/>
                                        <w:bottom w:val="none" w:sz="0" w:space="0" w:color="auto"/>
                                        <w:right w:val="none" w:sz="0" w:space="0" w:color="auto"/>
                                      </w:divBdr>
                                      <w:divsChild>
                                        <w:div w:id="1573614460">
                                          <w:marLeft w:val="0"/>
                                          <w:marRight w:val="0"/>
                                          <w:marTop w:val="0"/>
                                          <w:marBottom w:val="450"/>
                                          <w:divBdr>
                                            <w:top w:val="none" w:sz="0" w:space="0" w:color="auto"/>
                                            <w:left w:val="none" w:sz="0" w:space="0" w:color="auto"/>
                                            <w:bottom w:val="none" w:sz="0" w:space="0" w:color="auto"/>
                                            <w:right w:val="none" w:sz="0" w:space="0" w:color="auto"/>
                                          </w:divBdr>
                                          <w:divsChild>
                                            <w:div w:id="197012642">
                                              <w:marLeft w:val="0"/>
                                              <w:marRight w:val="0"/>
                                              <w:marTop w:val="0"/>
                                              <w:marBottom w:val="0"/>
                                              <w:divBdr>
                                                <w:top w:val="none" w:sz="0" w:space="0" w:color="auto"/>
                                                <w:left w:val="none" w:sz="0" w:space="0" w:color="auto"/>
                                                <w:bottom w:val="none" w:sz="0" w:space="0" w:color="auto"/>
                                                <w:right w:val="none" w:sz="0" w:space="0" w:color="auto"/>
                                              </w:divBdr>
                                              <w:divsChild>
                                                <w:div w:id="1235235584">
                                                  <w:marLeft w:val="0"/>
                                                  <w:marRight w:val="0"/>
                                                  <w:marTop w:val="0"/>
                                                  <w:marBottom w:val="0"/>
                                                  <w:divBdr>
                                                    <w:top w:val="none" w:sz="0" w:space="0" w:color="auto"/>
                                                    <w:left w:val="none" w:sz="0" w:space="0" w:color="auto"/>
                                                    <w:bottom w:val="none" w:sz="0" w:space="0" w:color="auto"/>
                                                    <w:right w:val="none" w:sz="0" w:space="0" w:color="auto"/>
                                                  </w:divBdr>
                                                  <w:divsChild>
                                                    <w:div w:id="209770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680532">
                                      <w:marLeft w:val="0"/>
                                      <w:marRight w:val="0"/>
                                      <w:marTop w:val="0"/>
                                      <w:marBottom w:val="0"/>
                                      <w:divBdr>
                                        <w:top w:val="none" w:sz="0" w:space="0" w:color="auto"/>
                                        <w:left w:val="none" w:sz="0" w:space="0" w:color="auto"/>
                                        <w:bottom w:val="none" w:sz="0" w:space="0" w:color="auto"/>
                                        <w:right w:val="none" w:sz="0" w:space="0" w:color="auto"/>
                                      </w:divBdr>
                                      <w:divsChild>
                                        <w:div w:id="66851862">
                                          <w:marLeft w:val="0"/>
                                          <w:marRight w:val="0"/>
                                          <w:marTop w:val="0"/>
                                          <w:marBottom w:val="450"/>
                                          <w:divBdr>
                                            <w:top w:val="none" w:sz="0" w:space="0" w:color="auto"/>
                                            <w:left w:val="none" w:sz="0" w:space="0" w:color="auto"/>
                                            <w:bottom w:val="none" w:sz="0" w:space="0" w:color="auto"/>
                                            <w:right w:val="none" w:sz="0" w:space="0" w:color="auto"/>
                                          </w:divBdr>
                                          <w:divsChild>
                                            <w:div w:id="880559599">
                                              <w:marLeft w:val="0"/>
                                              <w:marRight w:val="0"/>
                                              <w:marTop w:val="0"/>
                                              <w:marBottom w:val="0"/>
                                              <w:divBdr>
                                                <w:top w:val="none" w:sz="0" w:space="0" w:color="auto"/>
                                                <w:left w:val="none" w:sz="0" w:space="0" w:color="auto"/>
                                                <w:bottom w:val="none" w:sz="0" w:space="0" w:color="auto"/>
                                                <w:right w:val="none" w:sz="0" w:space="0" w:color="auto"/>
                                              </w:divBdr>
                                              <w:divsChild>
                                                <w:div w:id="1279794099">
                                                  <w:marLeft w:val="0"/>
                                                  <w:marRight w:val="0"/>
                                                  <w:marTop w:val="0"/>
                                                  <w:marBottom w:val="0"/>
                                                  <w:divBdr>
                                                    <w:top w:val="none" w:sz="0" w:space="0" w:color="auto"/>
                                                    <w:left w:val="none" w:sz="0" w:space="0" w:color="auto"/>
                                                    <w:bottom w:val="none" w:sz="0" w:space="0" w:color="auto"/>
                                                    <w:right w:val="none" w:sz="0" w:space="0" w:color="auto"/>
                                                  </w:divBdr>
                                                  <w:divsChild>
                                                    <w:div w:id="6310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386006">
                                      <w:marLeft w:val="0"/>
                                      <w:marRight w:val="0"/>
                                      <w:marTop w:val="0"/>
                                      <w:marBottom w:val="0"/>
                                      <w:divBdr>
                                        <w:top w:val="none" w:sz="0" w:space="0" w:color="auto"/>
                                        <w:left w:val="none" w:sz="0" w:space="0" w:color="auto"/>
                                        <w:bottom w:val="none" w:sz="0" w:space="0" w:color="auto"/>
                                        <w:right w:val="none" w:sz="0" w:space="0" w:color="auto"/>
                                      </w:divBdr>
                                      <w:divsChild>
                                        <w:div w:id="1721859978">
                                          <w:marLeft w:val="0"/>
                                          <w:marRight w:val="0"/>
                                          <w:marTop w:val="0"/>
                                          <w:marBottom w:val="0"/>
                                          <w:divBdr>
                                            <w:top w:val="none" w:sz="0" w:space="0" w:color="auto"/>
                                            <w:left w:val="none" w:sz="0" w:space="0" w:color="auto"/>
                                            <w:bottom w:val="none" w:sz="0" w:space="0" w:color="auto"/>
                                            <w:right w:val="none" w:sz="0" w:space="0" w:color="auto"/>
                                          </w:divBdr>
                                          <w:divsChild>
                                            <w:div w:id="1057624428">
                                              <w:marLeft w:val="0"/>
                                              <w:marRight w:val="0"/>
                                              <w:marTop w:val="0"/>
                                              <w:marBottom w:val="0"/>
                                              <w:divBdr>
                                                <w:top w:val="none" w:sz="0" w:space="0" w:color="auto"/>
                                                <w:left w:val="none" w:sz="0" w:space="0" w:color="auto"/>
                                                <w:bottom w:val="none" w:sz="0" w:space="0" w:color="auto"/>
                                                <w:right w:val="none" w:sz="0" w:space="0" w:color="auto"/>
                                              </w:divBdr>
                                              <w:divsChild>
                                                <w:div w:id="1149516042">
                                                  <w:marLeft w:val="0"/>
                                                  <w:marRight w:val="0"/>
                                                  <w:marTop w:val="0"/>
                                                  <w:marBottom w:val="0"/>
                                                  <w:divBdr>
                                                    <w:top w:val="none" w:sz="0" w:space="0" w:color="auto"/>
                                                    <w:left w:val="none" w:sz="0" w:space="0" w:color="auto"/>
                                                    <w:bottom w:val="none" w:sz="0" w:space="0" w:color="auto"/>
                                                    <w:right w:val="none" w:sz="0" w:space="0" w:color="auto"/>
                                                  </w:divBdr>
                                                  <w:divsChild>
                                                    <w:div w:id="113314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864911">
                                      <w:marLeft w:val="0"/>
                                      <w:marRight w:val="0"/>
                                      <w:marTop w:val="0"/>
                                      <w:marBottom w:val="0"/>
                                      <w:divBdr>
                                        <w:top w:val="none" w:sz="0" w:space="0" w:color="auto"/>
                                        <w:left w:val="none" w:sz="0" w:space="0" w:color="auto"/>
                                        <w:bottom w:val="none" w:sz="0" w:space="0" w:color="auto"/>
                                        <w:right w:val="none" w:sz="0" w:space="0" w:color="auto"/>
                                      </w:divBdr>
                                      <w:divsChild>
                                        <w:div w:id="1458986158">
                                          <w:marLeft w:val="0"/>
                                          <w:marRight w:val="0"/>
                                          <w:marTop w:val="0"/>
                                          <w:marBottom w:val="0"/>
                                          <w:divBdr>
                                            <w:top w:val="none" w:sz="0" w:space="0" w:color="auto"/>
                                            <w:left w:val="none" w:sz="0" w:space="0" w:color="auto"/>
                                            <w:bottom w:val="none" w:sz="0" w:space="0" w:color="auto"/>
                                            <w:right w:val="none" w:sz="0" w:space="0" w:color="auto"/>
                                          </w:divBdr>
                                          <w:divsChild>
                                            <w:div w:id="157042855">
                                              <w:marLeft w:val="0"/>
                                              <w:marRight w:val="0"/>
                                              <w:marTop w:val="0"/>
                                              <w:marBottom w:val="0"/>
                                              <w:divBdr>
                                                <w:top w:val="none" w:sz="0" w:space="0" w:color="auto"/>
                                                <w:left w:val="none" w:sz="0" w:space="0" w:color="auto"/>
                                                <w:bottom w:val="none" w:sz="0" w:space="0" w:color="auto"/>
                                                <w:right w:val="none" w:sz="0" w:space="0" w:color="auto"/>
                                              </w:divBdr>
                                              <w:divsChild>
                                                <w:div w:id="1043407881">
                                                  <w:marLeft w:val="0"/>
                                                  <w:marRight w:val="0"/>
                                                  <w:marTop w:val="0"/>
                                                  <w:marBottom w:val="0"/>
                                                  <w:divBdr>
                                                    <w:top w:val="none" w:sz="0" w:space="0" w:color="auto"/>
                                                    <w:left w:val="none" w:sz="0" w:space="0" w:color="auto"/>
                                                    <w:bottom w:val="none" w:sz="0" w:space="0" w:color="auto"/>
                                                    <w:right w:val="none" w:sz="0" w:space="0" w:color="auto"/>
                                                  </w:divBdr>
                                                  <w:divsChild>
                                                    <w:div w:id="36282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090521">
                                      <w:marLeft w:val="0"/>
                                      <w:marRight w:val="0"/>
                                      <w:marTop w:val="0"/>
                                      <w:marBottom w:val="0"/>
                                      <w:divBdr>
                                        <w:top w:val="none" w:sz="0" w:space="0" w:color="auto"/>
                                        <w:left w:val="none" w:sz="0" w:space="0" w:color="auto"/>
                                        <w:bottom w:val="none" w:sz="0" w:space="0" w:color="auto"/>
                                        <w:right w:val="none" w:sz="0" w:space="0" w:color="auto"/>
                                      </w:divBdr>
                                      <w:divsChild>
                                        <w:div w:id="493910612">
                                          <w:marLeft w:val="0"/>
                                          <w:marRight w:val="0"/>
                                          <w:marTop w:val="0"/>
                                          <w:marBottom w:val="0"/>
                                          <w:divBdr>
                                            <w:top w:val="none" w:sz="0" w:space="0" w:color="auto"/>
                                            <w:left w:val="none" w:sz="0" w:space="0" w:color="auto"/>
                                            <w:bottom w:val="none" w:sz="0" w:space="0" w:color="auto"/>
                                            <w:right w:val="none" w:sz="0" w:space="0" w:color="auto"/>
                                          </w:divBdr>
                                          <w:divsChild>
                                            <w:div w:id="549347289">
                                              <w:marLeft w:val="0"/>
                                              <w:marRight w:val="0"/>
                                              <w:marTop w:val="0"/>
                                              <w:marBottom w:val="0"/>
                                              <w:divBdr>
                                                <w:top w:val="none" w:sz="0" w:space="0" w:color="auto"/>
                                                <w:left w:val="none" w:sz="0" w:space="0" w:color="auto"/>
                                                <w:bottom w:val="none" w:sz="0" w:space="0" w:color="auto"/>
                                                <w:right w:val="none" w:sz="0" w:space="0" w:color="auto"/>
                                              </w:divBdr>
                                              <w:divsChild>
                                                <w:div w:id="1564176513">
                                                  <w:marLeft w:val="0"/>
                                                  <w:marRight w:val="0"/>
                                                  <w:marTop w:val="0"/>
                                                  <w:marBottom w:val="0"/>
                                                  <w:divBdr>
                                                    <w:top w:val="none" w:sz="0" w:space="0" w:color="auto"/>
                                                    <w:left w:val="none" w:sz="0" w:space="0" w:color="auto"/>
                                                    <w:bottom w:val="none" w:sz="0" w:space="0" w:color="auto"/>
                                                    <w:right w:val="none" w:sz="0" w:space="0" w:color="auto"/>
                                                  </w:divBdr>
                                                  <w:divsChild>
                                                    <w:div w:id="13632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42248">
                                      <w:marLeft w:val="0"/>
                                      <w:marRight w:val="0"/>
                                      <w:marTop w:val="0"/>
                                      <w:marBottom w:val="0"/>
                                      <w:divBdr>
                                        <w:top w:val="none" w:sz="0" w:space="0" w:color="auto"/>
                                        <w:left w:val="none" w:sz="0" w:space="0" w:color="auto"/>
                                        <w:bottom w:val="none" w:sz="0" w:space="0" w:color="auto"/>
                                        <w:right w:val="none" w:sz="0" w:space="0" w:color="auto"/>
                                      </w:divBdr>
                                      <w:divsChild>
                                        <w:div w:id="1199440156">
                                          <w:marLeft w:val="0"/>
                                          <w:marRight w:val="0"/>
                                          <w:marTop w:val="0"/>
                                          <w:marBottom w:val="0"/>
                                          <w:divBdr>
                                            <w:top w:val="none" w:sz="0" w:space="0" w:color="auto"/>
                                            <w:left w:val="none" w:sz="0" w:space="0" w:color="auto"/>
                                            <w:bottom w:val="none" w:sz="0" w:space="0" w:color="auto"/>
                                            <w:right w:val="none" w:sz="0" w:space="0" w:color="auto"/>
                                          </w:divBdr>
                                          <w:divsChild>
                                            <w:div w:id="1063067158">
                                              <w:marLeft w:val="0"/>
                                              <w:marRight w:val="0"/>
                                              <w:marTop w:val="0"/>
                                              <w:marBottom w:val="0"/>
                                              <w:divBdr>
                                                <w:top w:val="none" w:sz="0" w:space="0" w:color="auto"/>
                                                <w:left w:val="none" w:sz="0" w:space="0" w:color="auto"/>
                                                <w:bottom w:val="none" w:sz="0" w:space="0" w:color="auto"/>
                                                <w:right w:val="none" w:sz="0" w:space="0" w:color="auto"/>
                                              </w:divBdr>
                                              <w:divsChild>
                                                <w:div w:id="833371959">
                                                  <w:marLeft w:val="0"/>
                                                  <w:marRight w:val="0"/>
                                                  <w:marTop w:val="0"/>
                                                  <w:marBottom w:val="0"/>
                                                  <w:divBdr>
                                                    <w:top w:val="none" w:sz="0" w:space="0" w:color="auto"/>
                                                    <w:left w:val="none" w:sz="0" w:space="0" w:color="auto"/>
                                                    <w:bottom w:val="none" w:sz="0" w:space="0" w:color="auto"/>
                                                    <w:right w:val="none" w:sz="0" w:space="0" w:color="auto"/>
                                                  </w:divBdr>
                                                  <w:divsChild>
                                                    <w:div w:id="126746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827048">
                                      <w:marLeft w:val="0"/>
                                      <w:marRight w:val="0"/>
                                      <w:marTop w:val="0"/>
                                      <w:marBottom w:val="0"/>
                                      <w:divBdr>
                                        <w:top w:val="none" w:sz="0" w:space="0" w:color="auto"/>
                                        <w:left w:val="none" w:sz="0" w:space="0" w:color="auto"/>
                                        <w:bottom w:val="none" w:sz="0" w:space="0" w:color="auto"/>
                                        <w:right w:val="none" w:sz="0" w:space="0" w:color="auto"/>
                                      </w:divBdr>
                                      <w:divsChild>
                                        <w:div w:id="1739478914">
                                          <w:marLeft w:val="0"/>
                                          <w:marRight w:val="0"/>
                                          <w:marTop w:val="0"/>
                                          <w:marBottom w:val="450"/>
                                          <w:divBdr>
                                            <w:top w:val="none" w:sz="0" w:space="0" w:color="auto"/>
                                            <w:left w:val="none" w:sz="0" w:space="0" w:color="auto"/>
                                            <w:bottom w:val="none" w:sz="0" w:space="0" w:color="auto"/>
                                            <w:right w:val="none" w:sz="0" w:space="0" w:color="auto"/>
                                          </w:divBdr>
                                          <w:divsChild>
                                            <w:div w:id="758522208">
                                              <w:marLeft w:val="0"/>
                                              <w:marRight w:val="0"/>
                                              <w:marTop w:val="0"/>
                                              <w:marBottom w:val="0"/>
                                              <w:divBdr>
                                                <w:top w:val="none" w:sz="0" w:space="0" w:color="auto"/>
                                                <w:left w:val="none" w:sz="0" w:space="0" w:color="auto"/>
                                                <w:bottom w:val="none" w:sz="0" w:space="0" w:color="auto"/>
                                                <w:right w:val="none" w:sz="0" w:space="0" w:color="auto"/>
                                              </w:divBdr>
                                              <w:divsChild>
                                                <w:div w:id="1995601529">
                                                  <w:marLeft w:val="0"/>
                                                  <w:marRight w:val="0"/>
                                                  <w:marTop w:val="0"/>
                                                  <w:marBottom w:val="0"/>
                                                  <w:divBdr>
                                                    <w:top w:val="none" w:sz="0" w:space="0" w:color="auto"/>
                                                    <w:left w:val="none" w:sz="0" w:space="0" w:color="auto"/>
                                                    <w:bottom w:val="none" w:sz="0" w:space="0" w:color="auto"/>
                                                    <w:right w:val="none" w:sz="0" w:space="0" w:color="auto"/>
                                                  </w:divBdr>
                                                  <w:divsChild>
                                                    <w:div w:id="127173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39228">
                                      <w:marLeft w:val="0"/>
                                      <w:marRight w:val="0"/>
                                      <w:marTop w:val="0"/>
                                      <w:marBottom w:val="0"/>
                                      <w:divBdr>
                                        <w:top w:val="none" w:sz="0" w:space="0" w:color="auto"/>
                                        <w:left w:val="none" w:sz="0" w:space="0" w:color="auto"/>
                                        <w:bottom w:val="none" w:sz="0" w:space="0" w:color="auto"/>
                                        <w:right w:val="none" w:sz="0" w:space="0" w:color="auto"/>
                                      </w:divBdr>
                                      <w:divsChild>
                                        <w:div w:id="1802528734">
                                          <w:marLeft w:val="0"/>
                                          <w:marRight w:val="0"/>
                                          <w:marTop w:val="0"/>
                                          <w:marBottom w:val="450"/>
                                          <w:divBdr>
                                            <w:top w:val="none" w:sz="0" w:space="0" w:color="auto"/>
                                            <w:left w:val="none" w:sz="0" w:space="0" w:color="auto"/>
                                            <w:bottom w:val="none" w:sz="0" w:space="0" w:color="auto"/>
                                            <w:right w:val="none" w:sz="0" w:space="0" w:color="auto"/>
                                          </w:divBdr>
                                          <w:divsChild>
                                            <w:div w:id="1556772518">
                                              <w:marLeft w:val="0"/>
                                              <w:marRight w:val="0"/>
                                              <w:marTop w:val="0"/>
                                              <w:marBottom w:val="0"/>
                                              <w:divBdr>
                                                <w:top w:val="none" w:sz="0" w:space="0" w:color="auto"/>
                                                <w:left w:val="none" w:sz="0" w:space="0" w:color="auto"/>
                                                <w:bottom w:val="none" w:sz="0" w:space="0" w:color="auto"/>
                                                <w:right w:val="none" w:sz="0" w:space="0" w:color="auto"/>
                                              </w:divBdr>
                                              <w:divsChild>
                                                <w:div w:id="535510316">
                                                  <w:marLeft w:val="0"/>
                                                  <w:marRight w:val="0"/>
                                                  <w:marTop w:val="0"/>
                                                  <w:marBottom w:val="0"/>
                                                  <w:divBdr>
                                                    <w:top w:val="none" w:sz="0" w:space="0" w:color="auto"/>
                                                    <w:left w:val="none" w:sz="0" w:space="0" w:color="auto"/>
                                                    <w:bottom w:val="none" w:sz="0" w:space="0" w:color="auto"/>
                                                    <w:right w:val="none" w:sz="0" w:space="0" w:color="auto"/>
                                                  </w:divBdr>
                                                  <w:divsChild>
                                                    <w:div w:id="46407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305711">
                                      <w:marLeft w:val="0"/>
                                      <w:marRight w:val="0"/>
                                      <w:marTop w:val="0"/>
                                      <w:marBottom w:val="0"/>
                                      <w:divBdr>
                                        <w:top w:val="none" w:sz="0" w:space="0" w:color="auto"/>
                                        <w:left w:val="none" w:sz="0" w:space="0" w:color="auto"/>
                                        <w:bottom w:val="none" w:sz="0" w:space="0" w:color="auto"/>
                                        <w:right w:val="none" w:sz="0" w:space="0" w:color="auto"/>
                                      </w:divBdr>
                                      <w:divsChild>
                                        <w:div w:id="1514878445">
                                          <w:marLeft w:val="0"/>
                                          <w:marRight w:val="0"/>
                                          <w:marTop w:val="0"/>
                                          <w:marBottom w:val="0"/>
                                          <w:divBdr>
                                            <w:top w:val="none" w:sz="0" w:space="0" w:color="auto"/>
                                            <w:left w:val="none" w:sz="0" w:space="0" w:color="auto"/>
                                            <w:bottom w:val="none" w:sz="0" w:space="0" w:color="auto"/>
                                            <w:right w:val="none" w:sz="0" w:space="0" w:color="auto"/>
                                          </w:divBdr>
                                          <w:divsChild>
                                            <w:div w:id="1342586943">
                                              <w:marLeft w:val="0"/>
                                              <w:marRight w:val="0"/>
                                              <w:marTop w:val="0"/>
                                              <w:marBottom w:val="0"/>
                                              <w:divBdr>
                                                <w:top w:val="none" w:sz="0" w:space="0" w:color="auto"/>
                                                <w:left w:val="none" w:sz="0" w:space="0" w:color="auto"/>
                                                <w:bottom w:val="none" w:sz="0" w:space="0" w:color="auto"/>
                                                <w:right w:val="none" w:sz="0" w:space="0" w:color="auto"/>
                                              </w:divBdr>
                                              <w:divsChild>
                                                <w:div w:id="917324450">
                                                  <w:marLeft w:val="0"/>
                                                  <w:marRight w:val="0"/>
                                                  <w:marTop w:val="0"/>
                                                  <w:marBottom w:val="0"/>
                                                  <w:divBdr>
                                                    <w:top w:val="none" w:sz="0" w:space="0" w:color="auto"/>
                                                    <w:left w:val="none" w:sz="0" w:space="0" w:color="auto"/>
                                                    <w:bottom w:val="none" w:sz="0" w:space="0" w:color="auto"/>
                                                    <w:right w:val="none" w:sz="0" w:space="0" w:color="auto"/>
                                                  </w:divBdr>
                                                  <w:divsChild>
                                                    <w:div w:id="13306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326932">
                                      <w:marLeft w:val="0"/>
                                      <w:marRight w:val="0"/>
                                      <w:marTop w:val="0"/>
                                      <w:marBottom w:val="0"/>
                                      <w:divBdr>
                                        <w:top w:val="none" w:sz="0" w:space="0" w:color="auto"/>
                                        <w:left w:val="none" w:sz="0" w:space="0" w:color="auto"/>
                                        <w:bottom w:val="none" w:sz="0" w:space="0" w:color="auto"/>
                                        <w:right w:val="none" w:sz="0" w:space="0" w:color="auto"/>
                                      </w:divBdr>
                                      <w:divsChild>
                                        <w:div w:id="1502549807">
                                          <w:marLeft w:val="0"/>
                                          <w:marRight w:val="0"/>
                                          <w:marTop w:val="0"/>
                                          <w:marBottom w:val="0"/>
                                          <w:divBdr>
                                            <w:top w:val="none" w:sz="0" w:space="0" w:color="auto"/>
                                            <w:left w:val="none" w:sz="0" w:space="0" w:color="auto"/>
                                            <w:bottom w:val="none" w:sz="0" w:space="0" w:color="auto"/>
                                            <w:right w:val="none" w:sz="0" w:space="0" w:color="auto"/>
                                          </w:divBdr>
                                          <w:divsChild>
                                            <w:div w:id="50468470">
                                              <w:marLeft w:val="0"/>
                                              <w:marRight w:val="0"/>
                                              <w:marTop w:val="0"/>
                                              <w:marBottom w:val="0"/>
                                              <w:divBdr>
                                                <w:top w:val="none" w:sz="0" w:space="0" w:color="auto"/>
                                                <w:left w:val="none" w:sz="0" w:space="0" w:color="auto"/>
                                                <w:bottom w:val="none" w:sz="0" w:space="0" w:color="auto"/>
                                                <w:right w:val="none" w:sz="0" w:space="0" w:color="auto"/>
                                              </w:divBdr>
                                              <w:divsChild>
                                                <w:div w:id="995180792">
                                                  <w:marLeft w:val="0"/>
                                                  <w:marRight w:val="0"/>
                                                  <w:marTop w:val="0"/>
                                                  <w:marBottom w:val="0"/>
                                                  <w:divBdr>
                                                    <w:top w:val="none" w:sz="0" w:space="0" w:color="auto"/>
                                                    <w:left w:val="none" w:sz="0" w:space="0" w:color="auto"/>
                                                    <w:bottom w:val="none" w:sz="0" w:space="0" w:color="auto"/>
                                                    <w:right w:val="none" w:sz="0" w:space="0" w:color="auto"/>
                                                  </w:divBdr>
                                                  <w:divsChild>
                                                    <w:div w:id="1553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1416">
                                              <w:marLeft w:val="0"/>
                                              <w:marRight w:val="0"/>
                                              <w:marTop w:val="0"/>
                                              <w:marBottom w:val="0"/>
                                              <w:divBdr>
                                                <w:top w:val="none" w:sz="0" w:space="0" w:color="auto"/>
                                                <w:left w:val="none" w:sz="0" w:space="0" w:color="auto"/>
                                                <w:bottom w:val="none" w:sz="0" w:space="0" w:color="auto"/>
                                                <w:right w:val="none" w:sz="0" w:space="0" w:color="auto"/>
                                              </w:divBdr>
                                              <w:divsChild>
                                                <w:div w:id="840388601">
                                                  <w:marLeft w:val="0"/>
                                                  <w:marRight w:val="0"/>
                                                  <w:marTop w:val="0"/>
                                                  <w:marBottom w:val="0"/>
                                                  <w:divBdr>
                                                    <w:top w:val="none" w:sz="0" w:space="0" w:color="auto"/>
                                                    <w:left w:val="none" w:sz="0" w:space="0" w:color="auto"/>
                                                    <w:bottom w:val="none" w:sz="0" w:space="0" w:color="auto"/>
                                                    <w:right w:val="none" w:sz="0" w:space="0" w:color="auto"/>
                                                  </w:divBdr>
                                                  <w:divsChild>
                                                    <w:div w:id="83122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671021">
                                      <w:marLeft w:val="0"/>
                                      <w:marRight w:val="0"/>
                                      <w:marTop w:val="0"/>
                                      <w:marBottom w:val="0"/>
                                      <w:divBdr>
                                        <w:top w:val="none" w:sz="0" w:space="0" w:color="auto"/>
                                        <w:left w:val="none" w:sz="0" w:space="0" w:color="auto"/>
                                        <w:bottom w:val="none" w:sz="0" w:space="0" w:color="auto"/>
                                        <w:right w:val="none" w:sz="0" w:space="0" w:color="auto"/>
                                      </w:divBdr>
                                      <w:divsChild>
                                        <w:div w:id="368647339">
                                          <w:marLeft w:val="0"/>
                                          <w:marRight w:val="0"/>
                                          <w:marTop w:val="0"/>
                                          <w:marBottom w:val="450"/>
                                          <w:divBdr>
                                            <w:top w:val="none" w:sz="0" w:space="0" w:color="auto"/>
                                            <w:left w:val="none" w:sz="0" w:space="0" w:color="auto"/>
                                            <w:bottom w:val="none" w:sz="0" w:space="0" w:color="auto"/>
                                            <w:right w:val="none" w:sz="0" w:space="0" w:color="auto"/>
                                          </w:divBdr>
                                          <w:divsChild>
                                            <w:div w:id="1468744162">
                                              <w:marLeft w:val="0"/>
                                              <w:marRight w:val="0"/>
                                              <w:marTop w:val="0"/>
                                              <w:marBottom w:val="0"/>
                                              <w:divBdr>
                                                <w:top w:val="none" w:sz="0" w:space="0" w:color="auto"/>
                                                <w:left w:val="none" w:sz="0" w:space="0" w:color="auto"/>
                                                <w:bottom w:val="none" w:sz="0" w:space="0" w:color="auto"/>
                                                <w:right w:val="none" w:sz="0" w:space="0" w:color="auto"/>
                                              </w:divBdr>
                                              <w:divsChild>
                                                <w:div w:id="412163693">
                                                  <w:marLeft w:val="0"/>
                                                  <w:marRight w:val="0"/>
                                                  <w:marTop w:val="0"/>
                                                  <w:marBottom w:val="0"/>
                                                  <w:divBdr>
                                                    <w:top w:val="none" w:sz="0" w:space="0" w:color="auto"/>
                                                    <w:left w:val="none" w:sz="0" w:space="0" w:color="auto"/>
                                                    <w:bottom w:val="none" w:sz="0" w:space="0" w:color="auto"/>
                                                    <w:right w:val="none" w:sz="0" w:space="0" w:color="auto"/>
                                                  </w:divBdr>
                                                  <w:divsChild>
                                                    <w:div w:id="148631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5684307">
      <w:bodyDiv w:val="1"/>
      <w:marLeft w:val="0"/>
      <w:marRight w:val="0"/>
      <w:marTop w:val="0"/>
      <w:marBottom w:val="0"/>
      <w:divBdr>
        <w:top w:val="none" w:sz="0" w:space="0" w:color="auto"/>
        <w:left w:val="none" w:sz="0" w:space="0" w:color="auto"/>
        <w:bottom w:val="none" w:sz="0" w:space="0" w:color="auto"/>
        <w:right w:val="none" w:sz="0" w:space="0" w:color="auto"/>
      </w:divBdr>
    </w:div>
    <w:div w:id="406729204">
      <w:bodyDiv w:val="1"/>
      <w:marLeft w:val="0"/>
      <w:marRight w:val="0"/>
      <w:marTop w:val="0"/>
      <w:marBottom w:val="0"/>
      <w:divBdr>
        <w:top w:val="none" w:sz="0" w:space="0" w:color="auto"/>
        <w:left w:val="none" w:sz="0" w:space="0" w:color="auto"/>
        <w:bottom w:val="none" w:sz="0" w:space="0" w:color="auto"/>
        <w:right w:val="none" w:sz="0" w:space="0" w:color="auto"/>
      </w:divBdr>
    </w:div>
    <w:div w:id="408163830">
      <w:bodyDiv w:val="1"/>
      <w:marLeft w:val="0"/>
      <w:marRight w:val="0"/>
      <w:marTop w:val="0"/>
      <w:marBottom w:val="0"/>
      <w:divBdr>
        <w:top w:val="none" w:sz="0" w:space="0" w:color="auto"/>
        <w:left w:val="none" w:sz="0" w:space="0" w:color="auto"/>
        <w:bottom w:val="none" w:sz="0" w:space="0" w:color="auto"/>
        <w:right w:val="none" w:sz="0" w:space="0" w:color="auto"/>
      </w:divBdr>
    </w:div>
    <w:div w:id="420102489">
      <w:bodyDiv w:val="1"/>
      <w:marLeft w:val="0"/>
      <w:marRight w:val="0"/>
      <w:marTop w:val="0"/>
      <w:marBottom w:val="0"/>
      <w:divBdr>
        <w:top w:val="none" w:sz="0" w:space="0" w:color="auto"/>
        <w:left w:val="none" w:sz="0" w:space="0" w:color="auto"/>
        <w:bottom w:val="none" w:sz="0" w:space="0" w:color="auto"/>
        <w:right w:val="none" w:sz="0" w:space="0" w:color="auto"/>
      </w:divBdr>
    </w:div>
    <w:div w:id="424882012">
      <w:bodyDiv w:val="1"/>
      <w:marLeft w:val="0"/>
      <w:marRight w:val="0"/>
      <w:marTop w:val="0"/>
      <w:marBottom w:val="0"/>
      <w:divBdr>
        <w:top w:val="none" w:sz="0" w:space="0" w:color="auto"/>
        <w:left w:val="none" w:sz="0" w:space="0" w:color="auto"/>
        <w:bottom w:val="none" w:sz="0" w:space="0" w:color="auto"/>
        <w:right w:val="none" w:sz="0" w:space="0" w:color="auto"/>
      </w:divBdr>
    </w:div>
    <w:div w:id="426116082">
      <w:bodyDiv w:val="1"/>
      <w:marLeft w:val="0"/>
      <w:marRight w:val="0"/>
      <w:marTop w:val="0"/>
      <w:marBottom w:val="0"/>
      <w:divBdr>
        <w:top w:val="none" w:sz="0" w:space="0" w:color="auto"/>
        <w:left w:val="none" w:sz="0" w:space="0" w:color="auto"/>
        <w:bottom w:val="none" w:sz="0" w:space="0" w:color="auto"/>
        <w:right w:val="none" w:sz="0" w:space="0" w:color="auto"/>
      </w:divBdr>
      <w:divsChild>
        <w:div w:id="87116606">
          <w:marLeft w:val="0"/>
          <w:marRight w:val="0"/>
          <w:marTop w:val="0"/>
          <w:marBottom w:val="0"/>
          <w:divBdr>
            <w:top w:val="none" w:sz="0" w:space="0" w:color="auto"/>
            <w:left w:val="none" w:sz="0" w:space="0" w:color="auto"/>
            <w:bottom w:val="none" w:sz="0" w:space="0" w:color="auto"/>
            <w:right w:val="none" w:sz="0" w:space="0" w:color="auto"/>
          </w:divBdr>
          <w:divsChild>
            <w:div w:id="486944214">
              <w:marLeft w:val="-225"/>
              <w:marRight w:val="-225"/>
              <w:marTop w:val="0"/>
              <w:marBottom w:val="0"/>
              <w:divBdr>
                <w:top w:val="none" w:sz="0" w:space="0" w:color="auto"/>
                <w:left w:val="none" w:sz="0" w:space="0" w:color="auto"/>
                <w:bottom w:val="none" w:sz="0" w:space="0" w:color="auto"/>
                <w:right w:val="none" w:sz="0" w:space="0" w:color="auto"/>
              </w:divBdr>
              <w:divsChild>
                <w:div w:id="220598284">
                  <w:marLeft w:val="0"/>
                  <w:marRight w:val="0"/>
                  <w:marTop w:val="0"/>
                  <w:marBottom w:val="0"/>
                  <w:divBdr>
                    <w:top w:val="none" w:sz="0" w:space="0" w:color="auto"/>
                    <w:left w:val="none" w:sz="0" w:space="0" w:color="auto"/>
                    <w:bottom w:val="none" w:sz="0" w:space="0" w:color="auto"/>
                    <w:right w:val="none" w:sz="0" w:space="0" w:color="auto"/>
                  </w:divBdr>
                  <w:divsChild>
                    <w:div w:id="113328009">
                      <w:marLeft w:val="0"/>
                      <w:marRight w:val="0"/>
                      <w:marTop w:val="0"/>
                      <w:marBottom w:val="0"/>
                      <w:divBdr>
                        <w:top w:val="none" w:sz="0" w:space="0" w:color="auto"/>
                        <w:left w:val="none" w:sz="0" w:space="0" w:color="auto"/>
                        <w:bottom w:val="none" w:sz="0" w:space="0" w:color="auto"/>
                        <w:right w:val="none" w:sz="0" w:space="0" w:color="auto"/>
                      </w:divBdr>
                      <w:divsChild>
                        <w:div w:id="1106190922">
                          <w:marLeft w:val="0"/>
                          <w:marRight w:val="0"/>
                          <w:marTop w:val="0"/>
                          <w:marBottom w:val="0"/>
                          <w:divBdr>
                            <w:top w:val="none" w:sz="0" w:space="0" w:color="auto"/>
                            <w:left w:val="none" w:sz="0" w:space="0" w:color="auto"/>
                            <w:bottom w:val="none" w:sz="0" w:space="0" w:color="auto"/>
                            <w:right w:val="none" w:sz="0" w:space="0" w:color="auto"/>
                          </w:divBdr>
                          <w:divsChild>
                            <w:div w:id="729495067">
                              <w:marLeft w:val="0"/>
                              <w:marRight w:val="0"/>
                              <w:marTop w:val="0"/>
                              <w:marBottom w:val="0"/>
                              <w:divBdr>
                                <w:top w:val="none" w:sz="0" w:space="0" w:color="auto"/>
                                <w:left w:val="none" w:sz="0" w:space="0" w:color="auto"/>
                                <w:bottom w:val="none" w:sz="0" w:space="0" w:color="auto"/>
                                <w:right w:val="none" w:sz="0" w:space="0" w:color="auto"/>
                              </w:divBdr>
                              <w:divsChild>
                                <w:div w:id="204567241">
                                  <w:marLeft w:val="0"/>
                                  <w:marRight w:val="0"/>
                                  <w:marTop w:val="0"/>
                                  <w:marBottom w:val="0"/>
                                  <w:divBdr>
                                    <w:top w:val="none" w:sz="0" w:space="0" w:color="auto"/>
                                    <w:left w:val="none" w:sz="0" w:space="0" w:color="auto"/>
                                    <w:bottom w:val="none" w:sz="0" w:space="0" w:color="auto"/>
                                    <w:right w:val="none" w:sz="0" w:space="0" w:color="auto"/>
                                  </w:divBdr>
                                  <w:divsChild>
                                    <w:div w:id="1737705254">
                                      <w:marLeft w:val="0"/>
                                      <w:marRight w:val="0"/>
                                      <w:marTop w:val="0"/>
                                      <w:marBottom w:val="0"/>
                                      <w:divBdr>
                                        <w:top w:val="none" w:sz="0" w:space="0" w:color="auto"/>
                                        <w:left w:val="none" w:sz="0" w:space="0" w:color="auto"/>
                                        <w:bottom w:val="none" w:sz="0" w:space="0" w:color="auto"/>
                                        <w:right w:val="none" w:sz="0" w:space="0" w:color="auto"/>
                                      </w:divBdr>
                                      <w:divsChild>
                                        <w:div w:id="1613824990">
                                          <w:marLeft w:val="0"/>
                                          <w:marRight w:val="0"/>
                                          <w:marTop w:val="0"/>
                                          <w:marBottom w:val="0"/>
                                          <w:divBdr>
                                            <w:top w:val="none" w:sz="0" w:space="0" w:color="auto"/>
                                            <w:left w:val="none" w:sz="0" w:space="0" w:color="auto"/>
                                            <w:bottom w:val="none" w:sz="0" w:space="0" w:color="auto"/>
                                            <w:right w:val="none" w:sz="0" w:space="0" w:color="auto"/>
                                          </w:divBdr>
                                          <w:divsChild>
                                            <w:div w:id="1209105562">
                                              <w:marLeft w:val="0"/>
                                              <w:marRight w:val="0"/>
                                              <w:marTop w:val="0"/>
                                              <w:marBottom w:val="0"/>
                                              <w:divBdr>
                                                <w:top w:val="none" w:sz="0" w:space="0" w:color="auto"/>
                                                <w:left w:val="none" w:sz="0" w:space="0" w:color="auto"/>
                                                <w:bottom w:val="none" w:sz="0" w:space="0" w:color="auto"/>
                                                <w:right w:val="none" w:sz="0" w:space="0" w:color="auto"/>
                                              </w:divBdr>
                                              <w:divsChild>
                                                <w:div w:id="821432991">
                                                  <w:marLeft w:val="0"/>
                                                  <w:marRight w:val="0"/>
                                                  <w:marTop w:val="0"/>
                                                  <w:marBottom w:val="0"/>
                                                  <w:divBdr>
                                                    <w:top w:val="none" w:sz="0" w:space="0" w:color="auto"/>
                                                    <w:left w:val="none" w:sz="0" w:space="0" w:color="auto"/>
                                                    <w:bottom w:val="none" w:sz="0" w:space="0" w:color="auto"/>
                                                    <w:right w:val="none" w:sz="0" w:space="0" w:color="auto"/>
                                                  </w:divBdr>
                                                  <w:divsChild>
                                                    <w:div w:id="911044163">
                                                      <w:marLeft w:val="0"/>
                                                      <w:marRight w:val="0"/>
                                                      <w:marTop w:val="0"/>
                                                      <w:marBottom w:val="0"/>
                                                      <w:divBdr>
                                                        <w:top w:val="none" w:sz="0" w:space="0" w:color="auto"/>
                                                        <w:left w:val="none" w:sz="0" w:space="0" w:color="auto"/>
                                                        <w:bottom w:val="none" w:sz="0" w:space="0" w:color="auto"/>
                                                        <w:right w:val="none" w:sz="0" w:space="0" w:color="auto"/>
                                                      </w:divBdr>
                                                      <w:divsChild>
                                                        <w:div w:id="139068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85992">
                                                  <w:marLeft w:val="0"/>
                                                  <w:marRight w:val="0"/>
                                                  <w:marTop w:val="0"/>
                                                  <w:marBottom w:val="0"/>
                                                  <w:divBdr>
                                                    <w:top w:val="none" w:sz="0" w:space="0" w:color="auto"/>
                                                    <w:left w:val="none" w:sz="0" w:space="0" w:color="auto"/>
                                                    <w:bottom w:val="none" w:sz="0" w:space="0" w:color="auto"/>
                                                    <w:right w:val="none" w:sz="0" w:space="0" w:color="auto"/>
                                                  </w:divBdr>
                                                  <w:divsChild>
                                                    <w:div w:id="277877637">
                                                      <w:marLeft w:val="0"/>
                                                      <w:marRight w:val="0"/>
                                                      <w:marTop w:val="0"/>
                                                      <w:marBottom w:val="0"/>
                                                      <w:divBdr>
                                                        <w:top w:val="none" w:sz="0" w:space="0" w:color="auto"/>
                                                        <w:left w:val="none" w:sz="0" w:space="0" w:color="auto"/>
                                                        <w:bottom w:val="none" w:sz="0" w:space="0" w:color="auto"/>
                                                        <w:right w:val="none" w:sz="0" w:space="0" w:color="auto"/>
                                                      </w:divBdr>
                                                      <w:divsChild>
                                                        <w:div w:id="195186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3425687">
      <w:bodyDiv w:val="1"/>
      <w:marLeft w:val="0"/>
      <w:marRight w:val="0"/>
      <w:marTop w:val="0"/>
      <w:marBottom w:val="0"/>
      <w:divBdr>
        <w:top w:val="none" w:sz="0" w:space="0" w:color="auto"/>
        <w:left w:val="none" w:sz="0" w:space="0" w:color="auto"/>
        <w:bottom w:val="none" w:sz="0" w:space="0" w:color="auto"/>
        <w:right w:val="none" w:sz="0" w:space="0" w:color="auto"/>
      </w:divBdr>
      <w:divsChild>
        <w:div w:id="1246036305">
          <w:marLeft w:val="0"/>
          <w:marRight w:val="0"/>
          <w:marTop w:val="0"/>
          <w:marBottom w:val="0"/>
          <w:divBdr>
            <w:top w:val="none" w:sz="0" w:space="0" w:color="auto"/>
            <w:left w:val="none" w:sz="0" w:space="0" w:color="auto"/>
            <w:bottom w:val="none" w:sz="0" w:space="0" w:color="auto"/>
            <w:right w:val="none" w:sz="0" w:space="0" w:color="auto"/>
          </w:divBdr>
          <w:divsChild>
            <w:div w:id="895899019">
              <w:marLeft w:val="0"/>
              <w:marRight w:val="0"/>
              <w:marTop w:val="0"/>
              <w:marBottom w:val="0"/>
              <w:divBdr>
                <w:top w:val="none" w:sz="0" w:space="0" w:color="auto"/>
                <w:left w:val="none" w:sz="0" w:space="0" w:color="auto"/>
                <w:bottom w:val="none" w:sz="0" w:space="0" w:color="auto"/>
                <w:right w:val="none" w:sz="0" w:space="0" w:color="auto"/>
              </w:divBdr>
              <w:divsChild>
                <w:div w:id="1887135399">
                  <w:marLeft w:val="0"/>
                  <w:marRight w:val="0"/>
                  <w:marTop w:val="48"/>
                  <w:marBottom w:val="72"/>
                  <w:divBdr>
                    <w:top w:val="none" w:sz="0" w:space="0" w:color="auto"/>
                    <w:left w:val="none" w:sz="0" w:space="0" w:color="auto"/>
                    <w:bottom w:val="none" w:sz="0" w:space="0" w:color="auto"/>
                    <w:right w:val="none" w:sz="0" w:space="0" w:color="auto"/>
                  </w:divBdr>
                  <w:divsChild>
                    <w:div w:id="1321545214">
                      <w:marLeft w:val="0"/>
                      <w:marRight w:val="0"/>
                      <w:marTop w:val="0"/>
                      <w:marBottom w:val="0"/>
                      <w:divBdr>
                        <w:top w:val="none" w:sz="0" w:space="0" w:color="auto"/>
                        <w:left w:val="none" w:sz="0" w:space="0" w:color="auto"/>
                        <w:bottom w:val="none" w:sz="0" w:space="0" w:color="auto"/>
                        <w:right w:val="none" w:sz="0" w:space="0" w:color="auto"/>
                      </w:divBdr>
                      <w:divsChild>
                        <w:div w:id="275793553">
                          <w:marLeft w:val="0"/>
                          <w:marRight w:val="0"/>
                          <w:marTop w:val="0"/>
                          <w:marBottom w:val="580"/>
                          <w:divBdr>
                            <w:top w:val="none" w:sz="0" w:space="0" w:color="auto"/>
                            <w:left w:val="none" w:sz="0" w:space="0" w:color="auto"/>
                            <w:bottom w:val="none" w:sz="0" w:space="0" w:color="auto"/>
                            <w:right w:val="none" w:sz="0" w:space="0" w:color="auto"/>
                          </w:divBdr>
                          <w:divsChild>
                            <w:div w:id="676538608">
                              <w:marLeft w:val="0"/>
                              <w:marRight w:val="33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131236">
      <w:bodyDiv w:val="1"/>
      <w:marLeft w:val="0"/>
      <w:marRight w:val="0"/>
      <w:marTop w:val="0"/>
      <w:marBottom w:val="0"/>
      <w:divBdr>
        <w:top w:val="none" w:sz="0" w:space="0" w:color="auto"/>
        <w:left w:val="none" w:sz="0" w:space="0" w:color="auto"/>
        <w:bottom w:val="none" w:sz="0" w:space="0" w:color="auto"/>
        <w:right w:val="none" w:sz="0" w:space="0" w:color="auto"/>
      </w:divBdr>
    </w:div>
    <w:div w:id="471488364">
      <w:bodyDiv w:val="1"/>
      <w:marLeft w:val="0"/>
      <w:marRight w:val="0"/>
      <w:marTop w:val="0"/>
      <w:marBottom w:val="0"/>
      <w:divBdr>
        <w:top w:val="none" w:sz="0" w:space="0" w:color="auto"/>
        <w:left w:val="none" w:sz="0" w:space="0" w:color="auto"/>
        <w:bottom w:val="none" w:sz="0" w:space="0" w:color="auto"/>
        <w:right w:val="none" w:sz="0" w:space="0" w:color="auto"/>
      </w:divBdr>
      <w:divsChild>
        <w:div w:id="1848907978">
          <w:marLeft w:val="0"/>
          <w:marRight w:val="0"/>
          <w:marTop w:val="0"/>
          <w:marBottom w:val="0"/>
          <w:divBdr>
            <w:top w:val="none" w:sz="0" w:space="0" w:color="auto"/>
            <w:left w:val="none" w:sz="0" w:space="0" w:color="auto"/>
            <w:bottom w:val="none" w:sz="0" w:space="0" w:color="auto"/>
            <w:right w:val="none" w:sz="0" w:space="0" w:color="auto"/>
          </w:divBdr>
          <w:divsChild>
            <w:div w:id="73819479">
              <w:marLeft w:val="0"/>
              <w:marRight w:val="0"/>
              <w:marTop w:val="0"/>
              <w:marBottom w:val="0"/>
              <w:divBdr>
                <w:top w:val="none" w:sz="0" w:space="0" w:color="auto"/>
                <w:left w:val="none" w:sz="0" w:space="0" w:color="auto"/>
                <w:bottom w:val="none" w:sz="0" w:space="0" w:color="auto"/>
                <w:right w:val="none" w:sz="0" w:space="0" w:color="auto"/>
              </w:divBdr>
              <w:divsChild>
                <w:div w:id="692801702">
                  <w:marLeft w:val="0"/>
                  <w:marRight w:val="0"/>
                  <w:marTop w:val="0"/>
                  <w:marBottom w:val="0"/>
                  <w:divBdr>
                    <w:top w:val="none" w:sz="0" w:space="0" w:color="auto"/>
                    <w:left w:val="none" w:sz="0" w:space="0" w:color="auto"/>
                    <w:bottom w:val="none" w:sz="0" w:space="0" w:color="auto"/>
                    <w:right w:val="none" w:sz="0" w:space="0" w:color="auto"/>
                  </w:divBdr>
                  <w:divsChild>
                    <w:div w:id="164786278">
                      <w:marLeft w:val="0"/>
                      <w:marRight w:val="0"/>
                      <w:marTop w:val="0"/>
                      <w:marBottom w:val="0"/>
                      <w:divBdr>
                        <w:top w:val="none" w:sz="0" w:space="0" w:color="auto"/>
                        <w:left w:val="none" w:sz="0" w:space="0" w:color="auto"/>
                        <w:bottom w:val="none" w:sz="0" w:space="0" w:color="auto"/>
                        <w:right w:val="none" w:sz="0" w:space="0" w:color="auto"/>
                      </w:divBdr>
                      <w:divsChild>
                        <w:div w:id="558787345">
                          <w:marLeft w:val="0"/>
                          <w:marRight w:val="0"/>
                          <w:marTop w:val="0"/>
                          <w:marBottom w:val="0"/>
                          <w:divBdr>
                            <w:top w:val="none" w:sz="0" w:space="0" w:color="auto"/>
                            <w:left w:val="none" w:sz="0" w:space="0" w:color="auto"/>
                            <w:bottom w:val="none" w:sz="0" w:space="0" w:color="auto"/>
                            <w:right w:val="none" w:sz="0" w:space="0" w:color="auto"/>
                          </w:divBdr>
                          <w:divsChild>
                            <w:div w:id="826480592">
                              <w:marLeft w:val="0"/>
                              <w:marRight w:val="0"/>
                              <w:marTop w:val="0"/>
                              <w:marBottom w:val="0"/>
                              <w:divBdr>
                                <w:top w:val="none" w:sz="0" w:space="0" w:color="auto"/>
                                <w:left w:val="none" w:sz="0" w:space="0" w:color="auto"/>
                                <w:bottom w:val="none" w:sz="0" w:space="0" w:color="auto"/>
                                <w:right w:val="none" w:sz="0" w:space="0" w:color="auto"/>
                              </w:divBdr>
                              <w:divsChild>
                                <w:div w:id="2222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332977">
      <w:bodyDiv w:val="1"/>
      <w:marLeft w:val="0"/>
      <w:marRight w:val="0"/>
      <w:marTop w:val="0"/>
      <w:marBottom w:val="0"/>
      <w:divBdr>
        <w:top w:val="none" w:sz="0" w:space="0" w:color="auto"/>
        <w:left w:val="none" w:sz="0" w:space="0" w:color="auto"/>
        <w:bottom w:val="none" w:sz="0" w:space="0" w:color="auto"/>
        <w:right w:val="none" w:sz="0" w:space="0" w:color="auto"/>
      </w:divBdr>
    </w:div>
    <w:div w:id="481040313">
      <w:bodyDiv w:val="1"/>
      <w:marLeft w:val="0"/>
      <w:marRight w:val="0"/>
      <w:marTop w:val="0"/>
      <w:marBottom w:val="0"/>
      <w:divBdr>
        <w:top w:val="none" w:sz="0" w:space="0" w:color="auto"/>
        <w:left w:val="none" w:sz="0" w:space="0" w:color="auto"/>
        <w:bottom w:val="none" w:sz="0" w:space="0" w:color="auto"/>
        <w:right w:val="none" w:sz="0" w:space="0" w:color="auto"/>
      </w:divBdr>
      <w:divsChild>
        <w:div w:id="1317303602">
          <w:marLeft w:val="0"/>
          <w:marRight w:val="0"/>
          <w:marTop w:val="0"/>
          <w:marBottom w:val="0"/>
          <w:divBdr>
            <w:top w:val="none" w:sz="0" w:space="0" w:color="auto"/>
            <w:left w:val="none" w:sz="0" w:space="0" w:color="auto"/>
            <w:bottom w:val="none" w:sz="0" w:space="0" w:color="auto"/>
            <w:right w:val="none" w:sz="0" w:space="0" w:color="auto"/>
          </w:divBdr>
          <w:divsChild>
            <w:div w:id="485320473">
              <w:marLeft w:val="0"/>
              <w:marRight w:val="0"/>
              <w:marTop w:val="0"/>
              <w:marBottom w:val="0"/>
              <w:divBdr>
                <w:top w:val="none" w:sz="0" w:space="0" w:color="auto"/>
                <w:left w:val="none" w:sz="0" w:space="0" w:color="auto"/>
                <w:bottom w:val="none" w:sz="0" w:space="0" w:color="auto"/>
                <w:right w:val="none" w:sz="0" w:space="0" w:color="auto"/>
              </w:divBdr>
              <w:divsChild>
                <w:div w:id="72048854">
                  <w:marLeft w:val="0"/>
                  <w:marRight w:val="0"/>
                  <w:marTop w:val="0"/>
                  <w:marBottom w:val="0"/>
                  <w:divBdr>
                    <w:top w:val="none" w:sz="0" w:space="0" w:color="auto"/>
                    <w:left w:val="none" w:sz="0" w:space="0" w:color="auto"/>
                    <w:bottom w:val="none" w:sz="0" w:space="0" w:color="auto"/>
                    <w:right w:val="none" w:sz="0" w:space="0" w:color="auto"/>
                  </w:divBdr>
                  <w:divsChild>
                    <w:div w:id="1452550524">
                      <w:marLeft w:val="0"/>
                      <w:marRight w:val="0"/>
                      <w:marTop w:val="0"/>
                      <w:marBottom w:val="0"/>
                      <w:divBdr>
                        <w:top w:val="none" w:sz="0" w:space="0" w:color="auto"/>
                        <w:left w:val="none" w:sz="0" w:space="0" w:color="auto"/>
                        <w:bottom w:val="none" w:sz="0" w:space="0" w:color="auto"/>
                        <w:right w:val="none" w:sz="0" w:space="0" w:color="auto"/>
                      </w:divBdr>
                      <w:divsChild>
                        <w:div w:id="385225068">
                          <w:marLeft w:val="0"/>
                          <w:marRight w:val="0"/>
                          <w:marTop w:val="0"/>
                          <w:marBottom w:val="0"/>
                          <w:divBdr>
                            <w:top w:val="none" w:sz="0" w:space="0" w:color="auto"/>
                            <w:left w:val="none" w:sz="0" w:space="0" w:color="auto"/>
                            <w:bottom w:val="none" w:sz="0" w:space="0" w:color="auto"/>
                            <w:right w:val="none" w:sz="0" w:space="0" w:color="auto"/>
                          </w:divBdr>
                          <w:divsChild>
                            <w:div w:id="4884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549962">
      <w:bodyDiv w:val="1"/>
      <w:marLeft w:val="0"/>
      <w:marRight w:val="0"/>
      <w:marTop w:val="0"/>
      <w:marBottom w:val="0"/>
      <w:divBdr>
        <w:top w:val="none" w:sz="0" w:space="0" w:color="auto"/>
        <w:left w:val="none" w:sz="0" w:space="0" w:color="auto"/>
        <w:bottom w:val="none" w:sz="0" w:space="0" w:color="auto"/>
        <w:right w:val="none" w:sz="0" w:space="0" w:color="auto"/>
      </w:divBdr>
      <w:divsChild>
        <w:div w:id="77335505">
          <w:marLeft w:val="1166"/>
          <w:marRight w:val="0"/>
          <w:marTop w:val="115"/>
          <w:marBottom w:val="0"/>
          <w:divBdr>
            <w:top w:val="none" w:sz="0" w:space="0" w:color="auto"/>
            <w:left w:val="none" w:sz="0" w:space="0" w:color="auto"/>
            <w:bottom w:val="none" w:sz="0" w:space="0" w:color="auto"/>
            <w:right w:val="none" w:sz="0" w:space="0" w:color="auto"/>
          </w:divBdr>
        </w:div>
        <w:div w:id="339159662">
          <w:marLeft w:val="475"/>
          <w:marRight w:val="0"/>
          <w:marTop w:val="115"/>
          <w:marBottom w:val="0"/>
          <w:divBdr>
            <w:top w:val="none" w:sz="0" w:space="0" w:color="auto"/>
            <w:left w:val="none" w:sz="0" w:space="0" w:color="auto"/>
            <w:bottom w:val="none" w:sz="0" w:space="0" w:color="auto"/>
            <w:right w:val="none" w:sz="0" w:space="0" w:color="auto"/>
          </w:divBdr>
        </w:div>
        <w:div w:id="1117332264">
          <w:marLeft w:val="1166"/>
          <w:marRight w:val="0"/>
          <w:marTop w:val="115"/>
          <w:marBottom w:val="0"/>
          <w:divBdr>
            <w:top w:val="none" w:sz="0" w:space="0" w:color="auto"/>
            <w:left w:val="none" w:sz="0" w:space="0" w:color="auto"/>
            <w:bottom w:val="none" w:sz="0" w:space="0" w:color="auto"/>
            <w:right w:val="none" w:sz="0" w:space="0" w:color="auto"/>
          </w:divBdr>
        </w:div>
        <w:div w:id="1212618447">
          <w:marLeft w:val="1166"/>
          <w:marRight w:val="0"/>
          <w:marTop w:val="115"/>
          <w:marBottom w:val="0"/>
          <w:divBdr>
            <w:top w:val="none" w:sz="0" w:space="0" w:color="auto"/>
            <w:left w:val="none" w:sz="0" w:space="0" w:color="auto"/>
            <w:bottom w:val="none" w:sz="0" w:space="0" w:color="auto"/>
            <w:right w:val="none" w:sz="0" w:space="0" w:color="auto"/>
          </w:divBdr>
        </w:div>
        <w:div w:id="1573855469">
          <w:marLeft w:val="1166"/>
          <w:marRight w:val="0"/>
          <w:marTop w:val="115"/>
          <w:marBottom w:val="0"/>
          <w:divBdr>
            <w:top w:val="none" w:sz="0" w:space="0" w:color="auto"/>
            <w:left w:val="none" w:sz="0" w:space="0" w:color="auto"/>
            <w:bottom w:val="none" w:sz="0" w:space="0" w:color="auto"/>
            <w:right w:val="none" w:sz="0" w:space="0" w:color="auto"/>
          </w:divBdr>
        </w:div>
      </w:divsChild>
    </w:div>
    <w:div w:id="495344287">
      <w:bodyDiv w:val="1"/>
      <w:marLeft w:val="0"/>
      <w:marRight w:val="0"/>
      <w:marTop w:val="0"/>
      <w:marBottom w:val="0"/>
      <w:divBdr>
        <w:top w:val="none" w:sz="0" w:space="0" w:color="auto"/>
        <w:left w:val="none" w:sz="0" w:space="0" w:color="auto"/>
        <w:bottom w:val="none" w:sz="0" w:space="0" w:color="auto"/>
        <w:right w:val="none" w:sz="0" w:space="0" w:color="auto"/>
      </w:divBdr>
    </w:div>
    <w:div w:id="495727216">
      <w:bodyDiv w:val="1"/>
      <w:marLeft w:val="0"/>
      <w:marRight w:val="0"/>
      <w:marTop w:val="0"/>
      <w:marBottom w:val="0"/>
      <w:divBdr>
        <w:top w:val="none" w:sz="0" w:space="0" w:color="auto"/>
        <w:left w:val="none" w:sz="0" w:space="0" w:color="auto"/>
        <w:bottom w:val="none" w:sz="0" w:space="0" w:color="auto"/>
        <w:right w:val="none" w:sz="0" w:space="0" w:color="auto"/>
      </w:divBdr>
      <w:divsChild>
        <w:div w:id="629558796">
          <w:marLeft w:val="446"/>
          <w:marRight w:val="0"/>
          <w:marTop w:val="0"/>
          <w:marBottom w:val="0"/>
          <w:divBdr>
            <w:top w:val="none" w:sz="0" w:space="0" w:color="auto"/>
            <w:left w:val="none" w:sz="0" w:space="0" w:color="auto"/>
            <w:bottom w:val="none" w:sz="0" w:space="0" w:color="auto"/>
            <w:right w:val="none" w:sz="0" w:space="0" w:color="auto"/>
          </w:divBdr>
        </w:div>
        <w:div w:id="1912766200">
          <w:marLeft w:val="446"/>
          <w:marRight w:val="0"/>
          <w:marTop w:val="0"/>
          <w:marBottom w:val="0"/>
          <w:divBdr>
            <w:top w:val="none" w:sz="0" w:space="0" w:color="auto"/>
            <w:left w:val="none" w:sz="0" w:space="0" w:color="auto"/>
            <w:bottom w:val="none" w:sz="0" w:space="0" w:color="auto"/>
            <w:right w:val="none" w:sz="0" w:space="0" w:color="auto"/>
          </w:divBdr>
        </w:div>
        <w:div w:id="477844067">
          <w:marLeft w:val="446"/>
          <w:marRight w:val="0"/>
          <w:marTop w:val="0"/>
          <w:marBottom w:val="0"/>
          <w:divBdr>
            <w:top w:val="none" w:sz="0" w:space="0" w:color="auto"/>
            <w:left w:val="none" w:sz="0" w:space="0" w:color="auto"/>
            <w:bottom w:val="none" w:sz="0" w:space="0" w:color="auto"/>
            <w:right w:val="none" w:sz="0" w:space="0" w:color="auto"/>
          </w:divBdr>
        </w:div>
        <w:div w:id="301545366">
          <w:marLeft w:val="446"/>
          <w:marRight w:val="0"/>
          <w:marTop w:val="0"/>
          <w:marBottom w:val="0"/>
          <w:divBdr>
            <w:top w:val="none" w:sz="0" w:space="0" w:color="auto"/>
            <w:left w:val="none" w:sz="0" w:space="0" w:color="auto"/>
            <w:bottom w:val="none" w:sz="0" w:space="0" w:color="auto"/>
            <w:right w:val="none" w:sz="0" w:space="0" w:color="auto"/>
          </w:divBdr>
        </w:div>
      </w:divsChild>
    </w:div>
    <w:div w:id="517038707">
      <w:bodyDiv w:val="1"/>
      <w:marLeft w:val="0"/>
      <w:marRight w:val="0"/>
      <w:marTop w:val="0"/>
      <w:marBottom w:val="0"/>
      <w:divBdr>
        <w:top w:val="none" w:sz="0" w:space="0" w:color="auto"/>
        <w:left w:val="none" w:sz="0" w:space="0" w:color="auto"/>
        <w:bottom w:val="none" w:sz="0" w:space="0" w:color="auto"/>
        <w:right w:val="none" w:sz="0" w:space="0" w:color="auto"/>
      </w:divBdr>
    </w:div>
    <w:div w:id="519902455">
      <w:bodyDiv w:val="1"/>
      <w:marLeft w:val="0"/>
      <w:marRight w:val="0"/>
      <w:marTop w:val="0"/>
      <w:marBottom w:val="0"/>
      <w:divBdr>
        <w:top w:val="none" w:sz="0" w:space="0" w:color="auto"/>
        <w:left w:val="none" w:sz="0" w:space="0" w:color="auto"/>
        <w:bottom w:val="none" w:sz="0" w:space="0" w:color="auto"/>
        <w:right w:val="none" w:sz="0" w:space="0" w:color="auto"/>
      </w:divBdr>
    </w:div>
    <w:div w:id="532159647">
      <w:bodyDiv w:val="1"/>
      <w:marLeft w:val="0"/>
      <w:marRight w:val="0"/>
      <w:marTop w:val="0"/>
      <w:marBottom w:val="0"/>
      <w:divBdr>
        <w:top w:val="none" w:sz="0" w:space="0" w:color="auto"/>
        <w:left w:val="none" w:sz="0" w:space="0" w:color="auto"/>
        <w:bottom w:val="none" w:sz="0" w:space="0" w:color="auto"/>
        <w:right w:val="none" w:sz="0" w:space="0" w:color="auto"/>
      </w:divBdr>
    </w:div>
    <w:div w:id="568660912">
      <w:bodyDiv w:val="1"/>
      <w:marLeft w:val="0"/>
      <w:marRight w:val="0"/>
      <w:marTop w:val="0"/>
      <w:marBottom w:val="0"/>
      <w:divBdr>
        <w:top w:val="none" w:sz="0" w:space="0" w:color="auto"/>
        <w:left w:val="none" w:sz="0" w:space="0" w:color="auto"/>
        <w:bottom w:val="none" w:sz="0" w:space="0" w:color="auto"/>
        <w:right w:val="none" w:sz="0" w:space="0" w:color="auto"/>
      </w:divBdr>
    </w:div>
    <w:div w:id="599602949">
      <w:bodyDiv w:val="1"/>
      <w:marLeft w:val="0"/>
      <w:marRight w:val="0"/>
      <w:marTop w:val="0"/>
      <w:marBottom w:val="0"/>
      <w:divBdr>
        <w:top w:val="none" w:sz="0" w:space="0" w:color="auto"/>
        <w:left w:val="none" w:sz="0" w:space="0" w:color="auto"/>
        <w:bottom w:val="none" w:sz="0" w:space="0" w:color="auto"/>
        <w:right w:val="none" w:sz="0" w:space="0" w:color="auto"/>
      </w:divBdr>
    </w:div>
    <w:div w:id="613099231">
      <w:bodyDiv w:val="1"/>
      <w:marLeft w:val="0"/>
      <w:marRight w:val="0"/>
      <w:marTop w:val="0"/>
      <w:marBottom w:val="0"/>
      <w:divBdr>
        <w:top w:val="none" w:sz="0" w:space="0" w:color="auto"/>
        <w:left w:val="none" w:sz="0" w:space="0" w:color="auto"/>
        <w:bottom w:val="none" w:sz="0" w:space="0" w:color="auto"/>
        <w:right w:val="none" w:sz="0" w:space="0" w:color="auto"/>
      </w:divBdr>
    </w:div>
    <w:div w:id="639310948">
      <w:bodyDiv w:val="1"/>
      <w:marLeft w:val="0"/>
      <w:marRight w:val="0"/>
      <w:marTop w:val="0"/>
      <w:marBottom w:val="0"/>
      <w:divBdr>
        <w:top w:val="none" w:sz="0" w:space="0" w:color="auto"/>
        <w:left w:val="none" w:sz="0" w:space="0" w:color="auto"/>
        <w:bottom w:val="none" w:sz="0" w:space="0" w:color="auto"/>
        <w:right w:val="none" w:sz="0" w:space="0" w:color="auto"/>
      </w:divBdr>
    </w:div>
    <w:div w:id="639766834">
      <w:bodyDiv w:val="1"/>
      <w:marLeft w:val="0"/>
      <w:marRight w:val="0"/>
      <w:marTop w:val="0"/>
      <w:marBottom w:val="0"/>
      <w:divBdr>
        <w:top w:val="none" w:sz="0" w:space="0" w:color="auto"/>
        <w:left w:val="none" w:sz="0" w:space="0" w:color="auto"/>
        <w:bottom w:val="none" w:sz="0" w:space="0" w:color="auto"/>
        <w:right w:val="none" w:sz="0" w:space="0" w:color="auto"/>
      </w:divBdr>
    </w:div>
    <w:div w:id="659895504">
      <w:bodyDiv w:val="1"/>
      <w:marLeft w:val="0"/>
      <w:marRight w:val="0"/>
      <w:marTop w:val="0"/>
      <w:marBottom w:val="0"/>
      <w:divBdr>
        <w:top w:val="none" w:sz="0" w:space="0" w:color="auto"/>
        <w:left w:val="none" w:sz="0" w:space="0" w:color="auto"/>
        <w:bottom w:val="none" w:sz="0" w:space="0" w:color="auto"/>
        <w:right w:val="none" w:sz="0" w:space="0" w:color="auto"/>
      </w:divBdr>
    </w:div>
    <w:div w:id="670377954">
      <w:bodyDiv w:val="1"/>
      <w:marLeft w:val="0"/>
      <w:marRight w:val="0"/>
      <w:marTop w:val="0"/>
      <w:marBottom w:val="0"/>
      <w:divBdr>
        <w:top w:val="none" w:sz="0" w:space="0" w:color="auto"/>
        <w:left w:val="none" w:sz="0" w:space="0" w:color="auto"/>
        <w:bottom w:val="none" w:sz="0" w:space="0" w:color="auto"/>
        <w:right w:val="none" w:sz="0" w:space="0" w:color="auto"/>
      </w:divBdr>
    </w:div>
    <w:div w:id="682172651">
      <w:bodyDiv w:val="1"/>
      <w:marLeft w:val="0"/>
      <w:marRight w:val="0"/>
      <w:marTop w:val="0"/>
      <w:marBottom w:val="0"/>
      <w:divBdr>
        <w:top w:val="none" w:sz="0" w:space="0" w:color="auto"/>
        <w:left w:val="none" w:sz="0" w:space="0" w:color="auto"/>
        <w:bottom w:val="none" w:sz="0" w:space="0" w:color="auto"/>
        <w:right w:val="none" w:sz="0" w:space="0" w:color="auto"/>
      </w:divBdr>
    </w:div>
    <w:div w:id="682898823">
      <w:bodyDiv w:val="1"/>
      <w:marLeft w:val="0"/>
      <w:marRight w:val="0"/>
      <w:marTop w:val="0"/>
      <w:marBottom w:val="0"/>
      <w:divBdr>
        <w:top w:val="none" w:sz="0" w:space="0" w:color="auto"/>
        <w:left w:val="none" w:sz="0" w:space="0" w:color="auto"/>
        <w:bottom w:val="none" w:sz="0" w:space="0" w:color="auto"/>
        <w:right w:val="none" w:sz="0" w:space="0" w:color="auto"/>
      </w:divBdr>
    </w:div>
    <w:div w:id="700252373">
      <w:bodyDiv w:val="1"/>
      <w:marLeft w:val="0"/>
      <w:marRight w:val="0"/>
      <w:marTop w:val="0"/>
      <w:marBottom w:val="0"/>
      <w:divBdr>
        <w:top w:val="none" w:sz="0" w:space="0" w:color="auto"/>
        <w:left w:val="none" w:sz="0" w:space="0" w:color="auto"/>
        <w:bottom w:val="none" w:sz="0" w:space="0" w:color="auto"/>
        <w:right w:val="none" w:sz="0" w:space="0" w:color="auto"/>
      </w:divBdr>
    </w:div>
    <w:div w:id="714816741">
      <w:bodyDiv w:val="1"/>
      <w:marLeft w:val="0"/>
      <w:marRight w:val="0"/>
      <w:marTop w:val="0"/>
      <w:marBottom w:val="0"/>
      <w:divBdr>
        <w:top w:val="none" w:sz="0" w:space="0" w:color="auto"/>
        <w:left w:val="none" w:sz="0" w:space="0" w:color="auto"/>
        <w:bottom w:val="none" w:sz="0" w:space="0" w:color="auto"/>
        <w:right w:val="none" w:sz="0" w:space="0" w:color="auto"/>
      </w:divBdr>
      <w:divsChild>
        <w:div w:id="2008092817">
          <w:marLeft w:val="0"/>
          <w:marRight w:val="0"/>
          <w:marTop w:val="0"/>
          <w:marBottom w:val="0"/>
          <w:divBdr>
            <w:top w:val="none" w:sz="0" w:space="0" w:color="auto"/>
            <w:left w:val="none" w:sz="0" w:space="0" w:color="auto"/>
            <w:bottom w:val="none" w:sz="0" w:space="0" w:color="auto"/>
            <w:right w:val="none" w:sz="0" w:space="0" w:color="auto"/>
          </w:divBdr>
          <w:divsChild>
            <w:div w:id="1003356917">
              <w:marLeft w:val="-225"/>
              <w:marRight w:val="-225"/>
              <w:marTop w:val="0"/>
              <w:marBottom w:val="0"/>
              <w:divBdr>
                <w:top w:val="none" w:sz="0" w:space="0" w:color="auto"/>
                <w:left w:val="none" w:sz="0" w:space="0" w:color="auto"/>
                <w:bottom w:val="none" w:sz="0" w:space="0" w:color="auto"/>
                <w:right w:val="none" w:sz="0" w:space="0" w:color="auto"/>
              </w:divBdr>
              <w:divsChild>
                <w:div w:id="1869024035">
                  <w:marLeft w:val="0"/>
                  <w:marRight w:val="0"/>
                  <w:marTop w:val="0"/>
                  <w:marBottom w:val="0"/>
                  <w:divBdr>
                    <w:top w:val="none" w:sz="0" w:space="0" w:color="auto"/>
                    <w:left w:val="none" w:sz="0" w:space="0" w:color="auto"/>
                    <w:bottom w:val="none" w:sz="0" w:space="0" w:color="auto"/>
                    <w:right w:val="none" w:sz="0" w:space="0" w:color="auto"/>
                  </w:divBdr>
                  <w:divsChild>
                    <w:div w:id="924068476">
                      <w:marLeft w:val="0"/>
                      <w:marRight w:val="0"/>
                      <w:marTop w:val="0"/>
                      <w:marBottom w:val="0"/>
                      <w:divBdr>
                        <w:top w:val="none" w:sz="0" w:space="0" w:color="auto"/>
                        <w:left w:val="none" w:sz="0" w:space="0" w:color="auto"/>
                        <w:bottom w:val="none" w:sz="0" w:space="0" w:color="auto"/>
                        <w:right w:val="none" w:sz="0" w:space="0" w:color="auto"/>
                      </w:divBdr>
                      <w:divsChild>
                        <w:div w:id="1314144766">
                          <w:marLeft w:val="0"/>
                          <w:marRight w:val="0"/>
                          <w:marTop w:val="0"/>
                          <w:marBottom w:val="0"/>
                          <w:divBdr>
                            <w:top w:val="none" w:sz="0" w:space="0" w:color="auto"/>
                            <w:left w:val="none" w:sz="0" w:space="0" w:color="auto"/>
                            <w:bottom w:val="none" w:sz="0" w:space="0" w:color="auto"/>
                            <w:right w:val="none" w:sz="0" w:space="0" w:color="auto"/>
                          </w:divBdr>
                          <w:divsChild>
                            <w:div w:id="112020231">
                              <w:marLeft w:val="-225"/>
                              <w:marRight w:val="0"/>
                              <w:marTop w:val="300"/>
                              <w:marBottom w:val="300"/>
                              <w:divBdr>
                                <w:top w:val="none" w:sz="0" w:space="0" w:color="auto"/>
                                <w:left w:val="single" w:sz="36" w:space="8" w:color="E3E3E3"/>
                                <w:bottom w:val="none" w:sz="0" w:space="0" w:color="auto"/>
                                <w:right w:val="none" w:sz="0" w:space="0" w:color="auto"/>
                              </w:divBdr>
                              <w:divsChild>
                                <w:div w:id="1794866141">
                                  <w:marLeft w:val="0"/>
                                  <w:marRight w:val="0"/>
                                  <w:marTop w:val="0"/>
                                  <w:marBottom w:val="0"/>
                                  <w:divBdr>
                                    <w:top w:val="none" w:sz="0" w:space="0" w:color="auto"/>
                                    <w:left w:val="none" w:sz="0" w:space="0" w:color="auto"/>
                                    <w:bottom w:val="none" w:sz="0" w:space="0" w:color="auto"/>
                                    <w:right w:val="none" w:sz="0" w:space="0" w:color="auto"/>
                                  </w:divBdr>
                                  <w:divsChild>
                                    <w:div w:id="727343250">
                                      <w:marLeft w:val="0"/>
                                      <w:marRight w:val="0"/>
                                      <w:marTop w:val="0"/>
                                      <w:marBottom w:val="0"/>
                                      <w:divBdr>
                                        <w:top w:val="none" w:sz="0" w:space="0" w:color="auto"/>
                                        <w:left w:val="none" w:sz="0" w:space="0" w:color="auto"/>
                                        <w:bottom w:val="none" w:sz="0" w:space="0" w:color="auto"/>
                                        <w:right w:val="none" w:sz="0" w:space="0" w:color="auto"/>
                                      </w:divBdr>
                                      <w:divsChild>
                                        <w:div w:id="140471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991348">
                              <w:marLeft w:val="0"/>
                              <w:marRight w:val="0"/>
                              <w:marTop w:val="0"/>
                              <w:marBottom w:val="0"/>
                              <w:divBdr>
                                <w:top w:val="none" w:sz="0" w:space="0" w:color="auto"/>
                                <w:left w:val="none" w:sz="0" w:space="0" w:color="auto"/>
                                <w:bottom w:val="none" w:sz="0" w:space="0" w:color="auto"/>
                                <w:right w:val="none" w:sz="0" w:space="0" w:color="auto"/>
                              </w:divBdr>
                              <w:divsChild>
                                <w:div w:id="2069113300">
                                  <w:marLeft w:val="0"/>
                                  <w:marRight w:val="0"/>
                                  <w:marTop w:val="0"/>
                                  <w:marBottom w:val="0"/>
                                  <w:divBdr>
                                    <w:top w:val="none" w:sz="0" w:space="0" w:color="auto"/>
                                    <w:left w:val="none" w:sz="0" w:space="0" w:color="auto"/>
                                    <w:bottom w:val="none" w:sz="0" w:space="0" w:color="auto"/>
                                    <w:right w:val="none" w:sz="0" w:space="0" w:color="auto"/>
                                  </w:divBdr>
                                  <w:divsChild>
                                    <w:div w:id="2032604672">
                                      <w:marLeft w:val="0"/>
                                      <w:marRight w:val="0"/>
                                      <w:marTop w:val="0"/>
                                      <w:marBottom w:val="0"/>
                                      <w:divBdr>
                                        <w:top w:val="none" w:sz="0" w:space="0" w:color="auto"/>
                                        <w:left w:val="none" w:sz="0" w:space="0" w:color="auto"/>
                                        <w:bottom w:val="none" w:sz="0" w:space="0" w:color="auto"/>
                                        <w:right w:val="none" w:sz="0" w:space="0" w:color="auto"/>
                                      </w:divBdr>
                                      <w:divsChild>
                                        <w:div w:id="1260334837">
                                          <w:marLeft w:val="0"/>
                                          <w:marRight w:val="0"/>
                                          <w:marTop w:val="0"/>
                                          <w:marBottom w:val="0"/>
                                          <w:divBdr>
                                            <w:top w:val="none" w:sz="0" w:space="0" w:color="auto"/>
                                            <w:left w:val="none" w:sz="0" w:space="0" w:color="auto"/>
                                            <w:bottom w:val="none" w:sz="0" w:space="0" w:color="auto"/>
                                            <w:right w:val="none" w:sz="0" w:space="0" w:color="auto"/>
                                          </w:divBdr>
                                          <w:divsChild>
                                            <w:div w:id="2010055809">
                                              <w:marLeft w:val="0"/>
                                              <w:marRight w:val="0"/>
                                              <w:marTop w:val="0"/>
                                              <w:marBottom w:val="0"/>
                                              <w:divBdr>
                                                <w:top w:val="none" w:sz="0" w:space="0" w:color="auto"/>
                                                <w:left w:val="none" w:sz="0" w:space="0" w:color="auto"/>
                                                <w:bottom w:val="none" w:sz="0" w:space="0" w:color="auto"/>
                                                <w:right w:val="none" w:sz="0" w:space="0" w:color="auto"/>
                                              </w:divBdr>
                                              <w:divsChild>
                                                <w:div w:id="661203907">
                                                  <w:marLeft w:val="0"/>
                                                  <w:marRight w:val="0"/>
                                                  <w:marTop w:val="0"/>
                                                  <w:marBottom w:val="0"/>
                                                  <w:divBdr>
                                                    <w:top w:val="none" w:sz="0" w:space="0" w:color="auto"/>
                                                    <w:left w:val="none" w:sz="0" w:space="0" w:color="auto"/>
                                                    <w:bottom w:val="none" w:sz="0" w:space="0" w:color="auto"/>
                                                    <w:right w:val="none" w:sz="0" w:space="0" w:color="auto"/>
                                                  </w:divBdr>
                                                  <w:divsChild>
                                                    <w:div w:id="1731730351">
                                                      <w:marLeft w:val="0"/>
                                                      <w:marRight w:val="0"/>
                                                      <w:marTop w:val="0"/>
                                                      <w:marBottom w:val="0"/>
                                                      <w:divBdr>
                                                        <w:top w:val="none" w:sz="0" w:space="0" w:color="auto"/>
                                                        <w:left w:val="none" w:sz="0" w:space="0" w:color="auto"/>
                                                        <w:bottom w:val="none" w:sz="0" w:space="0" w:color="auto"/>
                                                        <w:right w:val="none" w:sz="0" w:space="0" w:color="auto"/>
                                                      </w:divBdr>
                                                      <w:divsChild>
                                                        <w:div w:id="179000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2486240">
      <w:bodyDiv w:val="1"/>
      <w:marLeft w:val="0"/>
      <w:marRight w:val="0"/>
      <w:marTop w:val="0"/>
      <w:marBottom w:val="0"/>
      <w:divBdr>
        <w:top w:val="none" w:sz="0" w:space="0" w:color="auto"/>
        <w:left w:val="none" w:sz="0" w:space="0" w:color="auto"/>
        <w:bottom w:val="none" w:sz="0" w:space="0" w:color="auto"/>
        <w:right w:val="none" w:sz="0" w:space="0" w:color="auto"/>
      </w:divBdr>
    </w:div>
    <w:div w:id="739713421">
      <w:bodyDiv w:val="1"/>
      <w:marLeft w:val="0"/>
      <w:marRight w:val="0"/>
      <w:marTop w:val="0"/>
      <w:marBottom w:val="0"/>
      <w:divBdr>
        <w:top w:val="none" w:sz="0" w:space="0" w:color="auto"/>
        <w:left w:val="none" w:sz="0" w:space="0" w:color="auto"/>
        <w:bottom w:val="none" w:sz="0" w:space="0" w:color="auto"/>
        <w:right w:val="none" w:sz="0" w:space="0" w:color="auto"/>
      </w:divBdr>
    </w:div>
    <w:div w:id="747506601">
      <w:bodyDiv w:val="1"/>
      <w:marLeft w:val="0"/>
      <w:marRight w:val="0"/>
      <w:marTop w:val="0"/>
      <w:marBottom w:val="0"/>
      <w:divBdr>
        <w:top w:val="none" w:sz="0" w:space="0" w:color="auto"/>
        <w:left w:val="none" w:sz="0" w:space="0" w:color="auto"/>
        <w:bottom w:val="none" w:sz="0" w:space="0" w:color="auto"/>
        <w:right w:val="none" w:sz="0" w:space="0" w:color="auto"/>
      </w:divBdr>
    </w:div>
    <w:div w:id="748388326">
      <w:bodyDiv w:val="1"/>
      <w:marLeft w:val="0"/>
      <w:marRight w:val="0"/>
      <w:marTop w:val="0"/>
      <w:marBottom w:val="0"/>
      <w:divBdr>
        <w:top w:val="none" w:sz="0" w:space="0" w:color="auto"/>
        <w:left w:val="none" w:sz="0" w:space="0" w:color="auto"/>
        <w:bottom w:val="none" w:sz="0" w:space="0" w:color="auto"/>
        <w:right w:val="none" w:sz="0" w:space="0" w:color="auto"/>
      </w:divBdr>
    </w:div>
    <w:div w:id="759134510">
      <w:bodyDiv w:val="1"/>
      <w:marLeft w:val="0"/>
      <w:marRight w:val="0"/>
      <w:marTop w:val="0"/>
      <w:marBottom w:val="0"/>
      <w:divBdr>
        <w:top w:val="none" w:sz="0" w:space="0" w:color="auto"/>
        <w:left w:val="none" w:sz="0" w:space="0" w:color="auto"/>
        <w:bottom w:val="none" w:sz="0" w:space="0" w:color="auto"/>
        <w:right w:val="none" w:sz="0" w:space="0" w:color="auto"/>
      </w:divBdr>
      <w:divsChild>
        <w:div w:id="215512294">
          <w:marLeft w:val="475"/>
          <w:marRight w:val="0"/>
          <w:marTop w:val="115"/>
          <w:marBottom w:val="0"/>
          <w:divBdr>
            <w:top w:val="none" w:sz="0" w:space="0" w:color="auto"/>
            <w:left w:val="none" w:sz="0" w:space="0" w:color="auto"/>
            <w:bottom w:val="none" w:sz="0" w:space="0" w:color="auto"/>
            <w:right w:val="none" w:sz="0" w:space="0" w:color="auto"/>
          </w:divBdr>
        </w:div>
        <w:div w:id="586228779">
          <w:marLeft w:val="475"/>
          <w:marRight w:val="0"/>
          <w:marTop w:val="115"/>
          <w:marBottom w:val="0"/>
          <w:divBdr>
            <w:top w:val="none" w:sz="0" w:space="0" w:color="auto"/>
            <w:left w:val="none" w:sz="0" w:space="0" w:color="auto"/>
            <w:bottom w:val="none" w:sz="0" w:space="0" w:color="auto"/>
            <w:right w:val="none" w:sz="0" w:space="0" w:color="auto"/>
          </w:divBdr>
        </w:div>
        <w:div w:id="1678188883">
          <w:marLeft w:val="475"/>
          <w:marRight w:val="0"/>
          <w:marTop w:val="115"/>
          <w:marBottom w:val="0"/>
          <w:divBdr>
            <w:top w:val="none" w:sz="0" w:space="0" w:color="auto"/>
            <w:left w:val="none" w:sz="0" w:space="0" w:color="auto"/>
            <w:bottom w:val="none" w:sz="0" w:space="0" w:color="auto"/>
            <w:right w:val="none" w:sz="0" w:space="0" w:color="auto"/>
          </w:divBdr>
        </w:div>
        <w:div w:id="1816486456">
          <w:marLeft w:val="1166"/>
          <w:marRight w:val="0"/>
          <w:marTop w:val="115"/>
          <w:marBottom w:val="0"/>
          <w:divBdr>
            <w:top w:val="none" w:sz="0" w:space="0" w:color="auto"/>
            <w:left w:val="none" w:sz="0" w:space="0" w:color="auto"/>
            <w:bottom w:val="none" w:sz="0" w:space="0" w:color="auto"/>
            <w:right w:val="none" w:sz="0" w:space="0" w:color="auto"/>
          </w:divBdr>
        </w:div>
        <w:div w:id="1990133915">
          <w:marLeft w:val="1166"/>
          <w:marRight w:val="0"/>
          <w:marTop w:val="115"/>
          <w:marBottom w:val="0"/>
          <w:divBdr>
            <w:top w:val="none" w:sz="0" w:space="0" w:color="auto"/>
            <w:left w:val="none" w:sz="0" w:space="0" w:color="auto"/>
            <w:bottom w:val="none" w:sz="0" w:space="0" w:color="auto"/>
            <w:right w:val="none" w:sz="0" w:space="0" w:color="auto"/>
          </w:divBdr>
        </w:div>
      </w:divsChild>
    </w:div>
    <w:div w:id="760446254">
      <w:bodyDiv w:val="1"/>
      <w:marLeft w:val="0"/>
      <w:marRight w:val="0"/>
      <w:marTop w:val="0"/>
      <w:marBottom w:val="0"/>
      <w:divBdr>
        <w:top w:val="none" w:sz="0" w:space="0" w:color="auto"/>
        <w:left w:val="none" w:sz="0" w:space="0" w:color="auto"/>
        <w:bottom w:val="none" w:sz="0" w:space="0" w:color="auto"/>
        <w:right w:val="none" w:sz="0" w:space="0" w:color="auto"/>
      </w:divBdr>
    </w:div>
    <w:div w:id="770517167">
      <w:bodyDiv w:val="1"/>
      <w:marLeft w:val="0"/>
      <w:marRight w:val="0"/>
      <w:marTop w:val="0"/>
      <w:marBottom w:val="0"/>
      <w:divBdr>
        <w:top w:val="none" w:sz="0" w:space="0" w:color="auto"/>
        <w:left w:val="none" w:sz="0" w:space="0" w:color="auto"/>
        <w:bottom w:val="none" w:sz="0" w:space="0" w:color="auto"/>
        <w:right w:val="none" w:sz="0" w:space="0" w:color="auto"/>
      </w:divBdr>
    </w:div>
    <w:div w:id="783580314">
      <w:bodyDiv w:val="1"/>
      <w:marLeft w:val="0"/>
      <w:marRight w:val="0"/>
      <w:marTop w:val="0"/>
      <w:marBottom w:val="0"/>
      <w:divBdr>
        <w:top w:val="none" w:sz="0" w:space="0" w:color="auto"/>
        <w:left w:val="none" w:sz="0" w:space="0" w:color="auto"/>
        <w:bottom w:val="none" w:sz="0" w:space="0" w:color="auto"/>
        <w:right w:val="none" w:sz="0" w:space="0" w:color="auto"/>
      </w:divBdr>
    </w:div>
    <w:div w:id="800881140">
      <w:bodyDiv w:val="1"/>
      <w:marLeft w:val="0"/>
      <w:marRight w:val="0"/>
      <w:marTop w:val="0"/>
      <w:marBottom w:val="0"/>
      <w:divBdr>
        <w:top w:val="none" w:sz="0" w:space="0" w:color="auto"/>
        <w:left w:val="none" w:sz="0" w:space="0" w:color="auto"/>
        <w:bottom w:val="none" w:sz="0" w:space="0" w:color="auto"/>
        <w:right w:val="none" w:sz="0" w:space="0" w:color="auto"/>
      </w:divBdr>
    </w:div>
    <w:div w:id="814950316">
      <w:bodyDiv w:val="1"/>
      <w:marLeft w:val="0"/>
      <w:marRight w:val="0"/>
      <w:marTop w:val="0"/>
      <w:marBottom w:val="0"/>
      <w:divBdr>
        <w:top w:val="none" w:sz="0" w:space="0" w:color="auto"/>
        <w:left w:val="none" w:sz="0" w:space="0" w:color="auto"/>
        <w:bottom w:val="none" w:sz="0" w:space="0" w:color="auto"/>
        <w:right w:val="none" w:sz="0" w:space="0" w:color="auto"/>
      </w:divBdr>
    </w:div>
    <w:div w:id="832992545">
      <w:bodyDiv w:val="1"/>
      <w:marLeft w:val="0"/>
      <w:marRight w:val="0"/>
      <w:marTop w:val="0"/>
      <w:marBottom w:val="0"/>
      <w:divBdr>
        <w:top w:val="none" w:sz="0" w:space="0" w:color="auto"/>
        <w:left w:val="none" w:sz="0" w:space="0" w:color="auto"/>
        <w:bottom w:val="none" w:sz="0" w:space="0" w:color="auto"/>
        <w:right w:val="none" w:sz="0" w:space="0" w:color="auto"/>
      </w:divBdr>
    </w:div>
    <w:div w:id="849180952">
      <w:bodyDiv w:val="1"/>
      <w:marLeft w:val="0"/>
      <w:marRight w:val="0"/>
      <w:marTop w:val="0"/>
      <w:marBottom w:val="0"/>
      <w:divBdr>
        <w:top w:val="none" w:sz="0" w:space="0" w:color="auto"/>
        <w:left w:val="none" w:sz="0" w:space="0" w:color="auto"/>
        <w:bottom w:val="none" w:sz="0" w:space="0" w:color="auto"/>
        <w:right w:val="none" w:sz="0" w:space="0" w:color="auto"/>
      </w:divBdr>
    </w:div>
    <w:div w:id="854419846">
      <w:bodyDiv w:val="1"/>
      <w:marLeft w:val="0"/>
      <w:marRight w:val="0"/>
      <w:marTop w:val="0"/>
      <w:marBottom w:val="0"/>
      <w:divBdr>
        <w:top w:val="none" w:sz="0" w:space="0" w:color="auto"/>
        <w:left w:val="none" w:sz="0" w:space="0" w:color="auto"/>
        <w:bottom w:val="none" w:sz="0" w:space="0" w:color="auto"/>
        <w:right w:val="none" w:sz="0" w:space="0" w:color="auto"/>
      </w:divBdr>
      <w:divsChild>
        <w:div w:id="1117485299">
          <w:marLeft w:val="0"/>
          <w:marRight w:val="0"/>
          <w:marTop w:val="0"/>
          <w:marBottom w:val="0"/>
          <w:divBdr>
            <w:top w:val="none" w:sz="0" w:space="0" w:color="auto"/>
            <w:left w:val="none" w:sz="0" w:space="0" w:color="auto"/>
            <w:bottom w:val="none" w:sz="0" w:space="0" w:color="auto"/>
            <w:right w:val="none" w:sz="0" w:space="0" w:color="auto"/>
          </w:divBdr>
          <w:divsChild>
            <w:div w:id="1465000293">
              <w:marLeft w:val="0"/>
              <w:marRight w:val="0"/>
              <w:marTop w:val="0"/>
              <w:marBottom w:val="0"/>
              <w:divBdr>
                <w:top w:val="none" w:sz="0" w:space="0" w:color="auto"/>
                <w:left w:val="none" w:sz="0" w:space="0" w:color="auto"/>
                <w:bottom w:val="none" w:sz="0" w:space="0" w:color="auto"/>
                <w:right w:val="none" w:sz="0" w:space="0" w:color="auto"/>
              </w:divBdr>
              <w:divsChild>
                <w:div w:id="2034377296">
                  <w:marLeft w:val="0"/>
                  <w:marRight w:val="0"/>
                  <w:marTop w:val="0"/>
                  <w:marBottom w:val="0"/>
                  <w:divBdr>
                    <w:top w:val="none" w:sz="0" w:space="0" w:color="auto"/>
                    <w:left w:val="none" w:sz="0" w:space="0" w:color="auto"/>
                    <w:bottom w:val="none" w:sz="0" w:space="0" w:color="auto"/>
                    <w:right w:val="none" w:sz="0" w:space="0" w:color="auto"/>
                  </w:divBdr>
                  <w:divsChild>
                    <w:div w:id="1885409357">
                      <w:marLeft w:val="0"/>
                      <w:marRight w:val="0"/>
                      <w:marTop w:val="0"/>
                      <w:marBottom w:val="600"/>
                      <w:divBdr>
                        <w:top w:val="none" w:sz="0" w:space="0" w:color="auto"/>
                        <w:left w:val="none" w:sz="0" w:space="0" w:color="auto"/>
                        <w:bottom w:val="none" w:sz="0" w:space="0" w:color="auto"/>
                        <w:right w:val="none" w:sz="0" w:space="0" w:color="auto"/>
                      </w:divBdr>
                      <w:divsChild>
                        <w:div w:id="582227729">
                          <w:marLeft w:val="0"/>
                          <w:marRight w:val="0"/>
                          <w:marTop w:val="0"/>
                          <w:marBottom w:val="0"/>
                          <w:divBdr>
                            <w:top w:val="none" w:sz="0" w:space="0" w:color="auto"/>
                            <w:left w:val="none" w:sz="0" w:space="0" w:color="auto"/>
                            <w:bottom w:val="none" w:sz="0" w:space="0" w:color="auto"/>
                            <w:right w:val="none" w:sz="0" w:space="0" w:color="auto"/>
                          </w:divBdr>
                          <w:divsChild>
                            <w:div w:id="2064939591">
                              <w:marLeft w:val="0"/>
                              <w:marRight w:val="0"/>
                              <w:marTop w:val="0"/>
                              <w:marBottom w:val="0"/>
                              <w:divBdr>
                                <w:top w:val="none" w:sz="0" w:space="0" w:color="auto"/>
                                <w:left w:val="none" w:sz="0" w:space="0" w:color="auto"/>
                                <w:bottom w:val="none" w:sz="0" w:space="0" w:color="auto"/>
                                <w:right w:val="none" w:sz="0" w:space="0" w:color="auto"/>
                              </w:divBdr>
                              <w:divsChild>
                                <w:div w:id="1467890922">
                                  <w:blockQuote w:val="1"/>
                                  <w:marLeft w:val="0"/>
                                  <w:marRight w:val="0"/>
                                  <w:marTop w:val="0"/>
                                  <w:marBottom w:val="450"/>
                                  <w:divBdr>
                                    <w:top w:val="none" w:sz="0" w:space="0" w:color="auto"/>
                                    <w:left w:val="none" w:sz="0" w:space="0" w:color="auto"/>
                                    <w:bottom w:val="single" w:sz="12" w:space="15" w:color="FFFFFF"/>
                                    <w:right w:val="none" w:sz="0" w:space="0" w:color="auto"/>
                                  </w:divBdr>
                                </w:div>
                              </w:divsChild>
                            </w:div>
                          </w:divsChild>
                        </w:div>
                      </w:divsChild>
                    </w:div>
                  </w:divsChild>
                </w:div>
              </w:divsChild>
            </w:div>
          </w:divsChild>
        </w:div>
      </w:divsChild>
    </w:div>
    <w:div w:id="857428621">
      <w:marLeft w:val="0"/>
      <w:marRight w:val="0"/>
      <w:marTop w:val="0"/>
      <w:marBottom w:val="0"/>
      <w:divBdr>
        <w:top w:val="none" w:sz="0" w:space="0" w:color="auto"/>
        <w:left w:val="none" w:sz="0" w:space="0" w:color="auto"/>
        <w:bottom w:val="none" w:sz="0" w:space="0" w:color="auto"/>
        <w:right w:val="none" w:sz="0" w:space="0" w:color="auto"/>
      </w:divBdr>
      <w:divsChild>
        <w:div w:id="1839492815">
          <w:marLeft w:val="-225"/>
          <w:marRight w:val="-225"/>
          <w:marTop w:val="0"/>
          <w:marBottom w:val="0"/>
          <w:divBdr>
            <w:top w:val="none" w:sz="0" w:space="0" w:color="auto"/>
            <w:left w:val="none" w:sz="0" w:space="0" w:color="auto"/>
            <w:bottom w:val="none" w:sz="0" w:space="0" w:color="auto"/>
            <w:right w:val="none" w:sz="0" w:space="0" w:color="auto"/>
          </w:divBdr>
          <w:divsChild>
            <w:div w:id="836725801">
              <w:marLeft w:val="0"/>
              <w:marRight w:val="0"/>
              <w:marTop w:val="0"/>
              <w:marBottom w:val="0"/>
              <w:divBdr>
                <w:top w:val="none" w:sz="0" w:space="0" w:color="auto"/>
                <w:left w:val="none" w:sz="0" w:space="0" w:color="auto"/>
                <w:bottom w:val="none" w:sz="0" w:space="0" w:color="auto"/>
                <w:right w:val="none" w:sz="0" w:space="0" w:color="auto"/>
              </w:divBdr>
            </w:div>
            <w:div w:id="1545756118">
              <w:marLeft w:val="0"/>
              <w:marRight w:val="0"/>
              <w:marTop w:val="0"/>
              <w:marBottom w:val="0"/>
              <w:divBdr>
                <w:top w:val="none" w:sz="0" w:space="0" w:color="auto"/>
                <w:left w:val="none" w:sz="0" w:space="0" w:color="auto"/>
                <w:bottom w:val="none" w:sz="0" w:space="0" w:color="auto"/>
                <w:right w:val="none" w:sz="0" w:space="0" w:color="auto"/>
              </w:divBdr>
              <w:divsChild>
                <w:div w:id="329528156">
                  <w:marLeft w:val="0"/>
                  <w:marRight w:val="0"/>
                  <w:marTop w:val="0"/>
                  <w:marBottom w:val="300"/>
                  <w:divBdr>
                    <w:top w:val="none" w:sz="0" w:space="0" w:color="auto"/>
                    <w:left w:val="none" w:sz="0" w:space="0" w:color="auto"/>
                    <w:bottom w:val="none" w:sz="0" w:space="0" w:color="auto"/>
                    <w:right w:val="none" w:sz="0" w:space="0" w:color="auto"/>
                  </w:divBdr>
                </w:div>
              </w:divsChild>
            </w:div>
            <w:div w:id="198962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95999">
      <w:bodyDiv w:val="1"/>
      <w:marLeft w:val="0"/>
      <w:marRight w:val="0"/>
      <w:marTop w:val="0"/>
      <w:marBottom w:val="0"/>
      <w:divBdr>
        <w:top w:val="none" w:sz="0" w:space="0" w:color="auto"/>
        <w:left w:val="none" w:sz="0" w:space="0" w:color="auto"/>
        <w:bottom w:val="none" w:sz="0" w:space="0" w:color="auto"/>
        <w:right w:val="none" w:sz="0" w:space="0" w:color="auto"/>
      </w:divBdr>
      <w:divsChild>
        <w:div w:id="52822295">
          <w:marLeft w:val="274"/>
          <w:marRight w:val="0"/>
          <w:marTop w:val="0"/>
          <w:marBottom w:val="120"/>
          <w:divBdr>
            <w:top w:val="none" w:sz="0" w:space="0" w:color="auto"/>
            <w:left w:val="none" w:sz="0" w:space="0" w:color="auto"/>
            <w:bottom w:val="none" w:sz="0" w:space="0" w:color="auto"/>
            <w:right w:val="none" w:sz="0" w:space="0" w:color="auto"/>
          </w:divBdr>
        </w:div>
        <w:div w:id="75134098">
          <w:marLeft w:val="274"/>
          <w:marRight w:val="0"/>
          <w:marTop w:val="0"/>
          <w:marBottom w:val="120"/>
          <w:divBdr>
            <w:top w:val="none" w:sz="0" w:space="0" w:color="auto"/>
            <w:left w:val="none" w:sz="0" w:space="0" w:color="auto"/>
            <w:bottom w:val="none" w:sz="0" w:space="0" w:color="auto"/>
            <w:right w:val="none" w:sz="0" w:space="0" w:color="auto"/>
          </w:divBdr>
        </w:div>
        <w:div w:id="246614257">
          <w:marLeft w:val="274"/>
          <w:marRight w:val="0"/>
          <w:marTop w:val="0"/>
          <w:marBottom w:val="120"/>
          <w:divBdr>
            <w:top w:val="none" w:sz="0" w:space="0" w:color="auto"/>
            <w:left w:val="none" w:sz="0" w:space="0" w:color="auto"/>
            <w:bottom w:val="none" w:sz="0" w:space="0" w:color="auto"/>
            <w:right w:val="none" w:sz="0" w:space="0" w:color="auto"/>
          </w:divBdr>
        </w:div>
        <w:div w:id="849368162">
          <w:marLeft w:val="274"/>
          <w:marRight w:val="0"/>
          <w:marTop w:val="0"/>
          <w:marBottom w:val="120"/>
          <w:divBdr>
            <w:top w:val="none" w:sz="0" w:space="0" w:color="auto"/>
            <w:left w:val="none" w:sz="0" w:space="0" w:color="auto"/>
            <w:bottom w:val="none" w:sz="0" w:space="0" w:color="auto"/>
            <w:right w:val="none" w:sz="0" w:space="0" w:color="auto"/>
          </w:divBdr>
        </w:div>
        <w:div w:id="941842658">
          <w:marLeft w:val="274"/>
          <w:marRight w:val="0"/>
          <w:marTop w:val="0"/>
          <w:marBottom w:val="120"/>
          <w:divBdr>
            <w:top w:val="none" w:sz="0" w:space="0" w:color="auto"/>
            <w:left w:val="none" w:sz="0" w:space="0" w:color="auto"/>
            <w:bottom w:val="none" w:sz="0" w:space="0" w:color="auto"/>
            <w:right w:val="none" w:sz="0" w:space="0" w:color="auto"/>
          </w:divBdr>
        </w:div>
        <w:div w:id="1010374208">
          <w:marLeft w:val="274"/>
          <w:marRight w:val="0"/>
          <w:marTop w:val="0"/>
          <w:marBottom w:val="120"/>
          <w:divBdr>
            <w:top w:val="none" w:sz="0" w:space="0" w:color="auto"/>
            <w:left w:val="none" w:sz="0" w:space="0" w:color="auto"/>
            <w:bottom w:val="none" w:sz="0" w:space="0" w:color="auto"/>
            <w:right w:val="none" w:sz="0" w:space="0" w:color="auto"/>
          </w:divBdr>
        </w:div>
        <w:div w:id="1471485350">
          <w:marLeft w:val="274"/>
          <w:marRight w:val="0"/>
          <w:marTop w:val="0"/>
          <w:marBottom w:val="120"/>
          <w:divBdr>
            <w:top w:val="none" w:sz="0" w:space="0" w:color="auto"/>
            <w:left w:val="none" w:sz="0" w:space="0" w:color="auto"/>
            <w:bottom w:val="none" w:sz="0" w:space="0" w:color="auto"/>
            <w:right w:val="none" w:sz="0" w:space="0" w:color="auto"/>
          </w:divBdr>
        </w:div>
        <w:div w:id="1491485941">
          <w:marLeft w:val="274"/>
          <w:marRight w:val="0"/>
          <w:marTop w:val="0"/>
          <w:marBottom w:val="120"/>
          <w:divBdr>
            <w:top w:val="none" w:sz="0" w:space="0" w:color="auto"/>
            <w:left w:val="none" w:sz="0" w:space="0" w:color="auto"/>
            <w:bottom w:val="none" w:sz="0" w:space="0" w:color="auto"/>
            <w:right w:val="none" w:sz="0" w:space="0" w:color="auto"/>
          </w:divBdr>
        </w:div>
        <w:div w:id="1644115067">
          <w:marLeft w:val="274"/>
          <w:marRight w:val="0"/>
          <w:marTop w:val="0"/>
          <w:marBottom w:val="120"/>
          <w:divBdr>
            <w:top w:val="none" w:sz="0" w:space="0" w:color="auto"/>
            <w:left w:val="none" w:sz="0" w:space="0" w:color="auto"/>
            <w:bottom w:val="none" w:sz="0" w:space="0" w:color="auto"/>
            <w:right w:val="none" w:sz="0" w:space="0" w:color="auto"/>
          </w:divBdr>
        </w:div>
        <w:div w:id="2107530740">
          <w:marLeft w:val="274"/>
          <w:marRight w:val="0"/>
          <w:marTop w:val="0"/>
          <w:marBottom w:val="120"/>
          <w:divBdr>
            <w:top w:val="none" w:sz="0" w:space="0" w:color="auto"/>
            <w:left w:val="none" w:sz="0" w:space="0" w:color="auto"/>
            <w:bottom w:val="none" w:sz="0" w:space="0" w:color="auto"/>
            <w:right w:val="none" w:sz="0" w:space="0" w:color="auto"/>
          </w:divBdr>
        </w:div>
        <w:div w:id="2128306200">
          <w:marLeft w:val="274"/>
          <w:marRight w:val="0"/>
          <w:marTop w:val="0"/>
          <w:marBottom w:val="120"/>
          <w:divBdr>
            <w:top w:val="none" w:sz="0" w:space="0" w:color="auto"/>
            <w:left w:val="none" w:sz="0" w:space="0" w:color="auto"/>
            <w:bottom w:val="none" w:sz="0" w:space="0" w:color="auto"/>
            <w:right w:val="none" w:sz="0" w:space="0" w:color="auto"/>
          </w:divBdr>
        </w:div>
      </w:divsChild>
    </w:div>
    <w:div w:id="882908045">
      <w:bodyDiv w:val="1"/>
      <w:marLeft w:val="0"/>
      <w:marRight w:val="0"/>
      <w:marTop w:val="0"/>
      <w:marBottom w:val="0"/>
      <w:divBdr>
        <w:top w:val="none" w:sz="0" w:space="0" w:color="auto"/>
        <w:left w:val="none" w:sz="0" w:space="0" w:color="auto"/>
        <w:bottom w:val="none" w:sz="0" w:space="0" w:color="auto"/>
        <w:right w:val="none" w:sz="0" w:space="0" w:color="auto"/>
      </w:divBdr>
    </w:div>
    <w:div w:id="891891856">
      <w:bodyDiv w:val="1"/>
      <w:marLeft w:val="0"/>
      <w:marRight w:val="0"/>
      <w:marTop w:val="0"/>
      <w:marBottom w:val="0"/>
      <w:divBdr>
        <w:top w:val="none" w:sz="0" w:space="0" w:color="auto"/>
        <w:left w:val="none" w:sz="0" w:space="0" w:color="auto"/>
        <w:bottom w:val="none" w:sz="0" w:space="0" w:color="auto"/>
        <w:right w:val="none" w:sz="0" w:space="0" w:color="auto"/>
      </w:divBdr>
    </w:div>
    <w:div w:id="911237251">
      <w:bodyDiv w:val="1"/>
      <w:marLeft w:val="0"/>
      <w:marRight w:val="0"/>
      <w:marTop w:val="0"/>
      <w:marBottom w:val="0"/>
      <w:divBdr>
        <w:top w:val="none" w:sz="0" w:space="0" w:color="auto"/>
        <w:left w:val="none" w:sz="0" w:space="0" w:color="auto"/>
        <w:bottom w:val="none" w:sz="0" w:space="0" w:color="auto"/>
        <w:right w:val="none" w:sz="0" w:space="0" w:color="auto"/>
      </w:divBdr>
    </w:div>
    <w:div w:id="923993960">
      <w:bodyDiv w:val="1"/>
      <w:marLeft w:val="0"/>
      <w:marRight w:val="0"/>
      <w:marTop w:val="0"/>
      <w:marBottom w:val="0"/>
      <w:divBdr>
        <w:top w:val="none" w:sz="0" w:space="0" w:color="auto"/>
        <w:left w:val="none" w:sz="0" w:space="0" w:color="auto"/>
        <w:bottom w:val="none" w:sz="0" w:space="0" w:color="auto"/>
        <w:right w:val="none" w:sz="0" w:space="0" w:color="auto"/>
      </w:divBdr>
    </w:div>
    <w:div w:id="924194603">
      <w:bodyDiv w:val="1"/>
      <w:marLeft w:val="0"/>
      <w:marRight w:val="0"/>
      <w:marTop w:val="0"/>
      <w:marBottom w:val="0"/>
      <w:divBdr>
        <w:top w:val="none" w:sz="0" w:space="0" w:color="auto"/>
        <w:left w:val="none" w:sz="0" w:space="0" w:color="auto"/>
        <w:bottom w:val="none" w:sz="0" w:space="0" w:color="auto"/>
        <w:right w:val="none" w:sz="0" w:space="0" w:color="auto"/>
      </w:divBdr>
    </w:div>
    <w:div w:id="926309146">
      <w:bodyDiv w:val="1"/>
      <w:marLeft w:val="0"/>
      <w:marRight w:val="0"/>
      <w:marTop w:val="0"/>
      <w:marBottom w:val="0"/>
      <w:divBdr>
        <w:top w:val="none" w:sz="0" w:space="0" w:color="auto"/>
        <w:left w:val="none" w:sz="0" w:space="0" w:color="auto"/>
        <w:bottom w:val="none" w:sz="0" w:space="0" w:color="auto"/>
        <w:right w:val="none" w:sz="0" w:space="0" w:color="auto"/>
      </w:divBdr>
    </w:div>
    <w:div w:id="933170396">
      <w:bodyDiv w:val="1"/>
      <w:marLeft w:val="0"/>
      <w:marRight w:val="0"/>
      <w:marTop w:val="0"/>
      <w:marBottom w:val="0"/>
      <w:divBdr>
        <w:top w:val="none" w:sz="0" w:space="0" w:color="auto"/>
        <w:left w:val="none" w:sz="0" w:space="0" w:color="auto"/>
        <w:bottom w:val="none" w:sz="0" w:space="0" w:color="auto"/>
        <w:right w:val="none" w:sz="0" w:space="0" w:color="auto"/>
      </w:divBdr>
    </w:div>
    <w:div w:id="936014028">
      <w:bodyDiv w:val="1"/>
      <w:marLeft w:val="0"/>
      <w:marRight w:val="0"/>
      <w:marTop w:val="0"/>
      <w:marBottom w:val="0"/>
      <w:divBdr>
        <w:top w:val="none" w:sz="0" w:space="0" w:color="auto"/>
        <w:left w:val="none" w:sz="0" w:space="0" w:color="auto"/>
        <w:bottom w:val="none" w:sz="0" w:space="0" w:color="auto"/>
        <w:right w:val="none" w:sz="0" w:space="0" w:color="auto"/>
      </w:divBdr>
    </w:div>
    <w:div w:id="943725595">
      <w:bodyDiv w:val="1"/>
      <w:marLeft w:val="0"/>
      <w:marRight w:val="0"/>
      <w:marTop w:val="0"/>
      <w:marBottom w:val="0"/>
      <w:divBdr>
        <w:top w:val="none" w:sz="0" w:space="0" w:color="auto"/>
        <w:left w:val="none" w:sz="0" w:space="0" w:color="auto"/>
        <w:bottom w:val="none" w:sz="0" w:space="0" w:color="auto"/>
        <w:right w:val="none" w:sz="0" w:space="0" w:color="auto"/>
      </w:divBdr>
    </w:div>
    <w:div w:id="990791151">
      <w:bodyDiv w:val="1"/>
      <w:marLeft w:val="0"/>
      <w:marRight w:val="0"/>
      <w:marTop w:val="0"/>
      <w:marBottom w:val="0"/>
      <w:divBdr>
        <w:top w:val="none" w:sz="0" w:space="0" w:color="auto"/>
        <w:left w:val="none" w:sz="0" w:space="0" w:color="auto"/>
        <w:bottom w:val="none" w:sz="0" w:space="0" w:color="auto"/>
        <w:right w:val="none" w:sz="0" w:space="0" w:color="auto"/>
      </w:divBdr>
    </w:div>
    <w:div w:id="1000817155">
      <w:bodyDiv w:val="1"/>
      <w:marLeft w:val="0"/>
      <w:marRight w:val="0"/>
      <w:marTop w:val="0"/>
      <w:marBottom w:val="0"/>
      <w:divBdr>
        <w:top w:val="none" w:sz="0" w:space="0" w:color="auto"/>
        <w:left w:val="none" w:sz="0" w:space="0" w:color="auto"/>
        <w:bottom w:val="none" w:sz="0" w:space="0" w:color="auto"/>
        <w:right w:val="none" w:sz="0" w:space="0" w:color="auto"/>
      </w:divBdr>
    </w:div>
    <w:div w:id="1016033709">
      <w:bodyDiv w:val="1"/>
      <w:marLeft w:val="0"/>
      <w:marRight w:val="0"/>
      <w:marTop w:val="0"/>
      <w:marBottom w:val="0"/>
      <w:divBdr>
        <w:top w:val="none" w:sz="0" w:space="0" w:color="auto"/>
        <w:left w:val="none" w:sz="0" w:space="0" w:color="auto"/>
        <w:bottom w:val="none" w:sz="0" w:space="0" w:color="auto"/>
        <w:right w:val="none" w:sz="0" w:space="0" w:color="auto"/>
      </w:divBdr>
    </w:div>
    <w:div w:id="1031151830">
      <w:bodyDiv w:val="1"/>
      <w:marLeft w:val="0"/>
      <w:marRight w:val="0"/>
      <w:marTop w:val="0"/>
      <w:marBottom w:val="0"/>
      <w:divBdr>
        <w:top w:val="none" w:sz="0" w:space="0" w:color="auto"/>
        <w:left w:val="none" w:sz="0" w:space="0" w:color="auto"/>
        <w:bottom w:val="none" w:sz="0" w:space="0" w:color="auto"/>
        <w:right w:val="none" w:sz="0" w:space="0" w:color="auto"/>
      </w:divBdr>
    </w:div>
    <w:div w:id="1035421945">
      <w:bodyDiv w:val="1"/>
      <w:marLeft w:val="0"/>
      <w:marRight w:val="0"/>
      <w:marTop w:val="0"/>
      <w:marBottom w:val="0"/>
      <w:divBdr>
        <w:top w:val="none" w:sz="0" w:space="0" w:color="auto"/>
        <w:left w:val="none" w:sz="0" w:space="0" w:color="auto"/>
        <w:bottom w:val="none" w:sz="0" w:space="0" w:color="auto"/>
        <w:right w:val="none" w:sz="0" w:space="0" w:color="auto"/>
      </w:divBdr>
    </w:div>
    <w:div w:id="1087463591">
      <w:bodyDiv w:val="1"/>
      <w:marLeft w:val="0"/>
      <w:marRight w:val="0"/>
      <w:marTop w:val="0"/>
      <w:marBottom w:val="0"/>
      <w:divBdr>
        <w:top w:val="none" w:sz="0" w:space="0" w:color="auto"/>
        <w:left w:val="none" w:sz="0" w:space="0" w:color="auto"/>
        <w:bottom w:val="none" w:sz="0" w:space="0" w:color="auto"/>
        <w:right w:val="none" w:sz="0" w:space="0" w:color="auto"/>
      </w:divBdr>
    </w:div>
    <w:div w:id="1119645549">
      <w:bodyDiv w:val="1"/>
      <w:marLeft w:val="0"/>
      <w:marRight w:val="0"/>
      <w:marTop w:val="0"/>
      <w:marBottom w:val="0"/>
      <w:divBdr>
        <w:top w:val="none" w:sz="0" w:space="0" w:color="auto"/>
        <w:left w:val="none" w:sz="0" w:space="0" w:color="auto"/>
        <w:bottom w:val="none" w:sz="0" w:space="0" w:color="auto"/>
        <w:right w:val="none" w:sz="0" w:space="0" w:color="auto"/>
      </w:divBdr>
      <w:divsChild>
        <w:div w:id="913080251">
          <w:marLeft w:val="475"/>
          <w:marRight w:val="0"/>
          <w:marTop w:val="115"/>
          <w:marBottom w:val="0"/>
          <w:divBdr>
            <w:top w:val="none" w:sz="0" w:space="0" w:color="auto"/>
            <w:left w:val="none" w:sz="0" w:space="0" w:color="auto"/>
            <w:bottom w:val="none" w:sz="0" w:space="0" w:color="auto"/>
            <w:right w:val="none" w:sz="0" w:space="0" w:color="auto"/>
          </w:divBdr>
        </w:div>
        <w:div w:id="1233081408">
          <w:marLeft w:val="475"/>
          <w:marRight w:val="0"/>
          <w:marTop w:val="115"/>
          <w:marBottom w:val="0"/>
          <w:divBdr>
            <w:top w:val="none" w:sz="0" w:space="0" w:color="auto"/>
            <w:left w:val="none" w:sz="0" w:space="0" w:color="auto"/>
            <w:bottom w:val="none" w:sz="0" w:space="0" w:color="auto"/>
            <w:right w:val="none" w:sz="0" w:space="0" w:color="auto"/>
          </w:divBdr>
        </w:div>
      </w:divsChild>
    </w:div>
    <w:div w:id="1123571172">
      <w:bodyDiv w:val="1"/>
      <w:marLeft w:val="0"/>
      <w:marRight w:val="0"/>
      <w:marTop w:val="0"/>
      <w:marBottom w:val="0"/>
      <w:divBdr>
        <w:top w:val="none" w:sz="0" w:space="0" w:color="auto"/>
        <w:left w:val="none" w:sz="0" w:space="0" w:color="auto"/>
        <w:bottom w:val="none" w:sz="0" w:space="0" w:color="auto"/>
        <w:right w:val="none" w:sz="0" w:space="0" w:color="auto"/>
      </w:divBdr>
    </w:div>
    <w:div w:id="1127896990">
      <w:bodyDiv w:val="1"/>
      <w:marLeft w:val="0"/>
      <w:marRight w:val="0"/>
      <w:marTop w:val="0"/>
      <w:marBottom w:val="0"/>
      <w:divBdr>
        <w:top w:val="none" w:sz="0" w:space="0" w:color="auto"/>
        <w:left w:val="none" w:sz="0" w:space="0" w:color="auto"/>
        <w:bottom w:val="none" w:sz="0" w:space="0" w:color="auto"/>
        <w:right w:val="none" w:sz="0" w:space="0" w:color="auto"/>
      </w:divBdr>
    </w:div>
    <w:div w:id="1148666565">
      <w:bodyDiv w:val="1"/>
      <w:marLeft w:val="0"/>
      <w:marRight w:val="0"/>
      <w:marTop w:val="0"/>
      <w:marBottom w:val="0"/>
      <w:divBdr>
        <w:top w:val="none" w:sz="0" w:space="0" w:color="auto"/>
        <w:left w:val="none" w:sz="0" w:space="0" w:color="auto"/>
        <w:bottom w:val="none" w:sz="0" w:space="0" w:color="auto"/>
        <w:right w:val="none" w:sz="0" w:space="0" w:color="auto"/>
      </w:divBdr>
    </w:div>
    <w:div w:id="1188523639">
      <w:bodyDiv w:val="1"/>
      <w:marLeft w:val="0"/>
      <w:marRight w:val="0"/>
      <w:marTop w:val="0"/>
      <w:marBottom w:val="0"/>
      <w:divBdr>
        <w:top w:val="none" w:sz="0" w:space="0" w:color="auto"/>
        <w:left w:val="none" w:sz="0" w:space="0" w:color="auto"/>
        <w:bottom w:val="none" w:sz="0" w:space="0" w:color="auto"/>
        <w:right w:val="none" w:sz="0" w:space="0" w:color="auto"/>
      </w:divBdr>
    </w:div>
    <w:div w:id="1191603199">
      <w:bodyDiv w:val="1"/>
      <w:marLeft w:val="0"/>
      <w:marRight w:val="0"/>
      <w:marTop w:val="0"/>
      <w:marBottom w:val="0"/>
      <w:divBdr>
        <w:top w:val="none" w:sz="0" w:space="0" w:color="auto"/>
        <w:left w:val="none" w:sz="0" w:space="0" w:color="auto"/>
        <w:bottom w:val="none" w:sz="0" w:space="0" w:color="auto"/>
        <w:right w:val="none" w:sz="0" w:space="0" w:color="auto"/>
      </w:divBdr>
      <w:divsChild>
        <w:div w:id="1214391233">
          <w:marLeft w:val="0"/>
          <w:marRight w:val="0"/>
          <w:marTop w:val="0"/>
          <w:marBottom w:val="0"/>
          <w:divBdr>
            <w:top w:val="none" w:sz="0" w:space="0" w:color="auto"/>
            <w:left w:val="none" w:sz="0" w:space="0" w:color="auto"/>
            <w:bottom w:val="none" w:sz="0" w:space="0" w:color="auto"/>
            <w:right w:val="none" w:sz="0" w:space="0" w:color="auto"/>
          </w:divBdr>
          <w:divsChild>
            <w:div w:id="1218199104">
              <w:marLeft w:val="0"/>
              <w:marRight w:val="0"/>
              <w:marTop w:val="0"/>
              <w:marBottom w:val="0"/>
              <w:divBdr>
                <w:top w:val="none" w:sz="0" w:space="0" w:color="auto"/>
                <w:left w:val="none" w:sz="0" w:space="0" w:color="auto"/>
                <w:bottom w:val="none" w:sz="0" w:space="0" w:color="auto"/>
                <w:right w:val="none" w:sz="0" w:space="0" w:color="auto"/>
              </w:divBdr>
              <w:divsChild>
                <w:div w:id="765922523">
                  <w:marLeft w:val="0"/>
                  <w:marRight w:val="0"/>
                  <w:marTop w:val="0"/>
                  <w:marBottom w:val="0"/>
                  <w:divBdr>
                    <w:top w:val="none" w:sz="0" w:space="0" w:color="auto"/>
                    <w:left w:val="none" w:sz="0" w:space="0" w:color="auto"/>
                    <w:bottom w:val="none" w:sz="0" w:space="0" w:color="auto"/>
                    <w:right w:val="none" w:sz="0" w:space="0" w:color="auto"/>
                  </w:divBdr>
                  <w:divsChild>
                    <w:div w:id="2023777935">
                      <w:marLeft w:val="0"/>
                      <w:marRight w:val="0"/>
                      <w:marTop w:val="0"/>
                      <w:marBottom w:val="600"/>
                      <w:divBdr>
                        <w:top w:val="none" w:sz="0" w:space="0" w:color="auto"/>
                        <w:left w:val="none" w:sz="0" w:space="0" w:color="auto"/>
                        <w:bottom w:val="none" w:sz="0" w:space="0" w:color="auto"/>
                        <w:right w:val="none" w:sz="0" w:space="0" w:color="auto"/>
                      </w:divBdr>
                      <w:divsChild>
                        <w:div w:id="1555191537">
                          <w:marLeft w:val="0"/>
                          <w:marRight w:val="0"/>
                          <w:marTop w:val="0"/>
                          <w:marBottom w:val="0"/>
                          <w:divBdr>
                            <w:top w:val="none" w:sz="0" w:space="0" w:color="auto"/>
                            <w:left w:val="none" w:sz="0" w:space="0" w:color="auto"/>
                            <w:bottom w:val="none" w:sz="0" w:space="0" w:color="auto"/>
                            <w:right w:val="none" w:sz="0" w:space="0" w:color="auto"/>
                          </w:divBdr>
                          <w:divsChild>
                            <w:div w:id="1654526523">
                              <w:marLeft w:val="0"/>
                              <w:marRight w:val="0"/>
                              <w:marTop w:val="0"/>
                              <w:marBottom w:val="0"/>
                              <w:divBdr>
                                <w:top w:val="none" w:sz="0" w:space="0" w:color="auto"/>
                                <w:left w:val="none" w:sz="0" w:space="0" w:color="auto"/>
                                <w:bottom w:val="none" w:sz="0" w:space="0" w:color="auto"/>
                                <w:right w:val="none" w:sz="0" w:space="0" w:color="auto"/>
                              </w:divBdr>
                              <w:divsChild>
                                <w:div w:id="1601571817">
                                  <w:blockQuote w:val="1"/>
                                  <w:marLeft w:val="0"/>
                                  <w:marRight w:val="0"/>
                                  <w:marTop w:val="0"/>
                                  <w:marBottom w:val="450"/>
                                  <w:divBdr>
                                    <w:top w:val="none" w:sz="0" w:space="0" w:color="auto"/>
                                    <w:left w:val="none" w:sz="0" w:space="0" w:color="auto"/>
                                    <w:bottom w:val="single" w:sz="12" w:space="15" w:color="FFFFFF"/>
                                    <w:right w:val="none" w:sz="0" w:space="0" w:color="auto"/>
                                  </w:divBdr>
                                </w:div>
                              </w:divsChild>
                            </w:div>
                          </w:divsChild>
                        </w:div>
                      </w:divsChild>
                    </w:div>
                  </w:divsChild>
                </w:div>
              </w:divsChild>
            </w:div>
          </w:divsChild>
        </w:div>
      </w:divsChild>
    </w:div>
    <w:div w:id="1195079806">
      <w:bodyDiv w:val="1"/>
      <w:marLeft w:val="0"/>
      <w:marRight w:val="0"/>
      <w:marTop w:val="0"/>
      <w:marBottom w:val="0"/>
      <w:divBdr>
        <w:top w:val="none" w:sz="0" w:space="0" w:color="auto"/>
        <w:left w:val="none" w:sz="0" w:space="0" w:color="auto"/>
        <w:bottom w:val="none" w:sz="0" w:space="0" w:color="auto"/>
        <w:right w:val="none" w:sz="0" w:space="0" w:color="auto"/>
      </w:divBdr>
    </w:div>
    <w:div w:id="1206794054">
      <w:bodyDiv w:val="1"/>
      <w:marLeft w:val="0"/>
      <w:marRight w:val="0"/>
      <w:marTop w:val="0"/>
      <w:marBottom w:val="0"/>
      <w:divBdr>
        <w:top w:val="none" w:sz="0" w:space="0" w:color="auto"/>
        <w:left w:val="none" w:sz="0" w:space="0" w:color="auto"/>
        <w:bottom w:val="none" w:sz="0" w:space="0" w:color="auto"/>
        <w:right w:val="none" w:sz="0" w:space="0" w:color="auto"/>
      </w:divBdr>
    </w:div>
    <w:div w:id="1209076311">
      <w:bodyDiv w:val="1"/>
      <w:marLeft w:val="0"/>
      <w:marRight w:val="0"/>
      <w:marTop w:val="0"/>
      <w:marBottom w:val="0"/>
      <w:divBdr>
        <w:top w:val="none" w:sz="0" w:space="0" w:color="auto"/>
        <w:left w:val="none" w:sz="0" w:space="0" w:color="auto"/>
        <w:bottom w:val="none" w:sz="0" w:space="0" w:color="auto"/>
        <w:right w:val="none" w:sz="0" w:space="0" w:color="auto"/>
      </w:divBdr>
      <w:divsChild>
        <w:div w:id="1803227019">
          <w:marLeft w:val="0"/>
          <w:marRight w:val="0"/>
          <w:marTop w:val="0"/>
          <w:marBottom w:val="0"/>
          <w:divBdr>
            <w:top w:val="none" w:sz="0" w:space="0" w:color="auto"/>
            <w:left w:val="none" w:sz="0" w:space="0" w:color="auto"/>
            <w:bottom w:val="none" w:sz="0" w:space="0" w:color="auto"/>
            <w:right w:val="none" w:sz="0" w:space="0" w:color="auto"/>
          </w:divBdr>
          <w:divsChild>
            <w:div w:id="1774126320">
              <w:marLeft w:val="0"/>
              <w:marRight w:val="0"/>
              <w:marTop w:val="0"/>
              <w:marBottom w:val="0"/>
              <w:divBdr>
                <w:top w:val="none" w:sz="0" w:space="0" w:color="auto"/>
                <w:left w:val="none" w:sz="0" w:space="0" w:color="auto"/>
                <w:bottom w:val="none" w:sz="0" w:space="0" w:color="auto"/>
                <w:right w:val="none" w:sz="0" w:space="0" w:color="auto"/>
              </w:divBdr>
              <w:divsChild>
                <w:div w:id="677654914">
                  <w:marLeft w:val="0"/>
                  <w:marRight w:val="0"/>
                  <w:marTop w:val="0"/>
                  <w:marBottom w:val="0"/>
                  <w:divBdr>
                    <w:top w:val="none" w:sz="0" w:space="0" w:color="auto"/>
                    <w:left w:val="none" w:sz="0" w:space="0" w:color="auto"/>
                    <w:bottom w:val="none" w:sz="0" w:space="0" w:color="auto"/>
                    <w:right w:val="none" w:sz="0" w:space="0" w:color="auto"/>
                  </w:divBdr>
                  <w:divsChild>
                    <w:div w:id="696807213">
                      <w:marLeft w:val="0"/>
                      <w:marRight w:val="0"/>
                      <w:marTop w:val="0"/>
                      <w:marBottom w:val="0"/>
                      <w:divBdr>
                        <w:top w:val="none" w:sz="0" w:space="0" w:color="auto"/>
                        <w:left w:val="none" w:sz="0" w:space="0" w:color="auto"/>
                        <w:bottom w:val="none" w:sz="0" w:space="0" w:color="auto"/>
                        <w:right w:val="none" w:sz="0" w:space="0" w:color="auto"/>
                      </w:divBdr>
                      <w:divsChild>
                        <w:div w:id="1214973326">
                          <w:marLeft w:val="0"/>
                          <w:marRight w:val="0"/>
                          <w:marTop w:val="0"/>
                          <w:marBottom w:val="0"/>
                          <w:divBdr>
                            <w:top w:val="none" w:sz="0" w:space="0" w:color="auto"/>
                            <w:left w:val="none" w:sz="0" w:space="0" w:color="auto"/>
                            <w:bottom w:val="none" w:sz="0" w:space="0" w:color="auto"/>
                            <w:right w:val="none" w:sz="0" w:space="0" w:color="auto"/>
                          </w:divBdr>
                          <w:divsChild>
                            <w:div w:id="167405640">
                              <w:marLeft w:val="0"/>
                              <w:marRight w:val="0"/>
                              <w:marTop w:val="0"/>
                              <w:marBottom w:val="0"/>
                              <w:divBdr>
                                <w:top w:val="none" w:sz="0" w:space="0" w:color="auto"/>
                                <w:left w:val="none" w:sz="0" w:space="0" w:color="auto"/>
                                <w:bottom w:val="none" w:sz="0" w:space="0" w:color="auto"/>
                                <w:right w:val="none" w:sz="0" w:space="0" w:color="auto"/>
                              </w:divBdr>
                              <w:divsChild>
                                <w:div w:id="1523518585">
                                  <w:marLeft w:val="0"/>
                                  <w:marRight w:val="0"/>
                                  <w:marTop w:val="0"/>
                                  <w:marBottom w:val="0"/>
                                  <w:divBdr>
                                    <w:top w:val="none" w:sz="0" w:space="0" w:color="auto"/>
                                    <w:left w:val="none" w:sz="0" w:space="0" w:color="auto"/>
                                    <w:bottom w:val="none" w:sz="0" w:space="0" w:color="auto"/>
                                    <w:right w:val="none" w:sz="0" w:space="0" w:color="auto"/>
                                  </w:divBdr>
                                  <w:divsChild>
                                    <w:div w:id="1843354739">
                                      <w:marLeft w:val="0"/>
                                      <w:marRight w:val="0"/>
                                      <w:marTop w:val="0"/>
                                      <w:marBottom w:val="0"/>
                                      <w:divBdr>
                                        <w:top w:val="none" w:sz="0" w:space="0" w:color="auto"/>
                                        <w:left w:val="none" w:sz="0" w:space="0" w:color="auto"/>
                                        <w:bottom w:val="none" w:sz="0" w:space="0" w:color="auto"/>
                                        <w:right w:val="none" w:sz="0" w:space="0" w:color="auto"/>
                                      </w:divBdr>
                                      <w:divsChild>
                                        <w:div w:id="338194893">
                                          <w:marLeft w:val="0"/>
                                          <w:marRight w:val="0"/>
                                          <w:marTop w:val="0"/>
                                          <w:marBottom w:val="0"/>
                                          <w:divBdr>
                                            <w:top w:val="none" w:sz="0" w:space="0" w:color="auto"/>
                                            <w:left w:val="none" w:sz="0" w:space="0" w:color="auto"/>
                                            <w:bottom w:val="none" w:sz="0" w:space="0" w:color="auto"/>
                                            <w:right w:val="none" w:sz="0" w:space="0" w:color="auto"/>
                                          </w:divBdr>
                                          <w:divsChild>
                                            <w:div w:id="1163395546">
                                              <w:marLeft w:val="0"/>
                                              <w:marRight w:val="0"/>
                                              <w:marTop w:val="0"/>
                                              <w:marBottom w:val="0"/>
                                              <w:divBdr>
                                                <w:top w:val="none" w:sz="0" w:space="0" w:color="auto"/>
                                                <w:left w:val="none" w:sz="0" w:space="0" w:color="auto"/>
                                                <w:bottom w:val="none" w:sz="0" w:space="0" w:color="auto"/>
                                                <w:right w:val="none" w:sz="0" w:space="0" w:color="auto"/>
                                              </w:divBdr>
                                              <w:divsChild>
                                                <w:div w:id="704520947">
                                                  <w:marLeft w:val="0"/>
                                                  <w:marRight w:val="0"/>
                                                  <w:marTop w:val="0"/>
                                                  <w:marBottom w:val="0"/>
                                                  <w:divBdr>
                                                    <w:top w:val="none" w:sz="0" w:space="0" w:color="auto"/>
                                                    <w:left w:val="none" w:sz="0" w:space="0" w:color="auto"/>
                                                    <w:bottom w:val="none" w:sz="0" w:space="0" w:color="auto"/>
                                                    <w:right w:val="none" w:sz="0" w:space="0" w:color="auto"/>
                                                  </w:divBdr>
                                                  <w:divsChild>
                                                    <w:div w:id="684794246">
                                                      <w:marLeft w:val="0"/>
                                                      <w:marRight w:val="0"/>
                                                      <w:marTop w:val="0"/>
                                                      <w:marBottom w:val="0"/>
                                                      <w:divBdr>
                                                        <w:top w:val="none" w:sz="0" w:space="0" w:color="auto"/>
                                                        <w:left w:val="none" w:sz="0" w:space="0" w:color="auto"/>
                                                        <w:bottom w:val="none" w:sz="0" w:space="0" w:color="auto"/>
                                                        <w:right w:val="none" w:sz="0" w:space="0" w:color="auto"/>
                                                      </w:divBdr>
                                                      <w:divsChild>
                                                        <w:div w:id="522475040">
                                                          <w:marLeft w:val="0"/>
                                                          <w:marRight w:val="0"/>
                                                          <w:marTop w:val="0"/>
                                                          <w:marBottom w:val="0"/>
                                                          <w:divBdr>
                                                            <w:top w:val="none" w:sz="0" w:space="0" w:color="auto"/>
                                                            <w:left w:val="none" w:sz="0" w:space="0" w:color="auto"/>
                                                            <w:bottom w:val="none" w:sz="0" w:space="0" w:color="auto"/>
                                                            <w:right w:val="none" w:sz="0" w:space="0" w:color="auto"/>
                                                          </w:divBdr>
                                                          <w:divsChild>
                                                            <w:div w:id="1338118336">
                                                              <w:marLeft w:val="0"/>
                                                              <w:marRight w:val="0"/>
                                                              <w:marTop w:val="315"/>
                                                              <w:marBottom w:val="0"/>
                                                              <w:divBdr>
                                                                <w:top w:val="none" w:sz="0" w:space="0" w:color="auto"/>
                                                                <w:left w:val="none" w:sz="0" w:space="0" w:color="auto"/>
                                                                <w:bottom w:val="none" w:sz="0" w:space="0" w:color="auto"/>
                                                                <w:right w:val="none" w:sz="0" w:space="0" w:color="auto"/>
                                                              </w:divBdr>
                                                              <w:divsChild>
                                                                <w:div w:id="383797068">
                                                                  <w:marLeft w:val="0"/>
                                                                  <w:marRight w:val="0"/>
                                                                  <w:marTop w:val="0"/>
                                                                  <w:marBottom w:val="675"/>
                                                                  <w:divBdr>
                                                                    <w:top w:val="none" w:sz="0" w:space="0" w:color="auto"/>
                                                                    <w:left w:val="none" w:sz="0" w:space="0" w:color="auto"/>
                                                                    <w:bottom w:val="none" w:sz="0" w:space="0" w:color="auto"/>
                                                                    <w:right w:val="none" w:sz="0" w:space="0" w:color="auto"/>
                                                                  </w:divBdr>
                                                                  <w:divsChild>
                                                                    <w:div w:id="1760980370">
                                                                      <w:marLeft w:val="0"/>
                                                                      <w:marRight w:val="0"/>
                                                                      <w:marTop w:val="300"/>
                                                                      <w:marBottom w:val="0"/>
                                                                      <w:divBdr>
                                                                        <w:top w:val="none" w:sz="0" w:space="0" w:color="auto"/>
                                                                        <w:left w:val="none" w:sz="0" w:space="0" w:color="auto"/>
                                                                        <w:bottom w:val="none" w:sz="0" w:space="0" w:color="auto"/>
                                                                        <w:right w:val="none" w:sz="0" w:space="0" w:color="auto"/>
                                                                      </w:divBdr>
                                                                      <w:divsChild>
                                                                        <w:div w:id="1547795938">
                                                                          <w:marLeft w:val="0"/>
                                                                          <w:marRight w:val="0"/>
                                                                          <w:marTop w:val="0"/>
                                                                          <w:marBottom w:val="0"/>
                                                                          <w:divBdr>
                                                                            <w:top w:val="none" w:sz="0" w:space="0" w:color="auto"/>
                                                                            <w:left w:val="none" w:sz="0" w:space="0" w:color="auto"/>
                                                                            <w:bottom w:val="none" w:sz="0" w:space="0" w:color="auto"/>
                                                                            <w:right w:val="none" w:sz="0" w:space="0" w:color="auto"/>
                                                                          </w:divBdr>
                                                                          <w:divsChild>
                                                                            <w:div w:id="542985310">
                                                                              <w:marLeft w:val="-150"/>
                                                                              <w:marRight w:val="0"/>
                                                                              <w:marTop w:val="0"/>
                                                                              <w:marBottom w:val="0"/>
                                                                              <w:divBdr>
                                                                                <w:top w:val="none" w:sz="0" w:space="0" w:color="auto"/>
                                                                                <w:left w:val="none" w:sz="0" w:space="0" w:color="auto"/>
                                                                                <w:bottom w:val="none" w:sz="0" w:space="0" w:color="auto"/>
                                                                                <w:right w:val="none" w:sz="0" w:space="0" w:color="auto"/>
                                                                              </w:divBdr>
                                                                              <w:divsChild>
                                                                                <w:div w:id="817838665">
                                                                                  <w:marLeft w:val="0"/>
                                                                                  <w:marRight w:val="0"/>
                                                                                  <w:marTop w:val="0"/>
                                                                                  <w:marBottom w:val="0"/>
                                                                                  <w:divBdr>
                                                                                    <w:top w:val="none" w:sz="0" w:space="0" w:color="auto"/>
                                                                                    <w:left w:val="none" w:sz="0" w:space="0" w:color="auto"/>
                                                                                    <w:bottom w:val="none" w:sz="0" w:space="0" w:color="auto"/>
                                                                                    <w:right w:val="none" w:sz="0" w:space="0" w:color="auto"/>
                                                                                  </w:divBdr>
                                                                                  <w:divsChild>
                                                                                    <w:div w:id="855996646">
                                                                                      <w:marLeft w:val="180"/>
                                                                                      <w:marRight w:val="0"/>
                                                                                      <w:marTop w:val="0"/>
                                                                                      <w:marBottom w:val="0"/>
                                                                                      <w:divBdr>
                                                                                        <w:top w:val="none" w:sz="0" w:space="0" w:color="auto"/>
                                                                                        <w:left w:val="none" w:sz="0" w:space="0" w:color="auto"/>
                                                                                        <w:bottom w:val="none" w:sz="0" w:space="0" w:color="auto"/>
                                                                                        <w:right w:val="none" w:sz="0" w:space="0" w:color="auto"/>
                                                                                      </w:divBdr>
                                                                                      <w:divsChild>
                                                                                        <w:div w:id="966394244">
                                                                                          <w:marLeft w:val="0"/>
                                                                                          <w:marRight w:val="0"/>
                                                                                          <w:marTop w:val="0"/>
                                                                                          <w:marBottom w:val="0"/>
                                                                                          <w:divBdr>
                                                                                            <w:top w:val="none" w:sz="0" w:space="0" w:color="auto"/>
                                                                                            <w:left w:val="none" w:sz="0" w:space="0" w:color="auto"/>
                                                                                            <w:bottom w:val="none" w:sz="0" w:space="0" w:color="auto"/>
                                                                                            <w:right w:val="none" w:sz="0" w:space="0" w:color="auto"/>
                                                                                          </w:divBdr>
                                                                                          <w:divsChild>
                                                                                            <w:div w:id="1071582133">
                                                                                              <w:marLeft w:val="0"/>
                                                                                              <w:marRight w:val="0"/>
                                                                                              <w:marTop w:val="0"/>
                                                                                              <w:marBottom w:val="0"/>
                                                                                              <w:divBdr>
                                                                                                <w:top w:val="none" w:sz="0" w:space="0" w:color="auto"/>
                                                                                                <w:left w:val="none" w:sz="0" w:space="0" w:color="auto"/>
                                                                                                <w:bottom w:val="none" w:sz="0" w:space="0" w:color="auto"/>
                                                                                                <w:right w:val="none" w:sz="0" w:space="0" w:color="auto"/>
                                                                                              </w:divBdr>
                                                                                              <w:divsChild>
                                                                                                <w:div w:id="1653826031">
                                                                                                  <w:marLeft w:val="0"/>
                                                                                                  <w:marRight w:val="0"/>
                                                                                                  <w:marTop w:val="0"/>
                                                                                                  <w:marBottom w:val="0"/>
                                                                                                  <w:divBdr>
                                                                                                    <w:top w:val="none" w:sz="0" w:space="0" w:color="auto"/>
                                                                                                    <w:left w:val="none" w:sz="0" w:space="0" w:color="auto"/>
                                                                                                    <w:bottom w:val="none" w:sz="0" w:space="0" w:color="auto"/>
                                                                                                    <w:right w:val="none" w:sz="0" w:space="0" w:color="auto"/>
                                                                                                  </w:divBdr>
                                                                                                </w:div>
                                                                                              </w:divsChild>
                                                                                            </w:div>
                                                                                            <w:div w:id="1552186262">
                                                                                              <w:marLeft w:val="0"/>
                                                                                              <w:marRight w:val="0"/>
                                                                                              <w:marTop w:val="0"/>
                                                                                              <w:marBottom w:val="0"/>
                                                                                              <w:divBdr>
                                                                                                <w:top w:val="none" w:sz="0" w:space="0" w:color="auto"/>
                                                                                                <w:left w:val="none" w:sz="0" w:space="0" w:color="auto"/>
                                                                                                <w:bottom w:val="none" w:sz="0" w:space="0" w:color="auto"/>
                                                                                                <w:right w:val="none" w:sz="0" w:space="0" w:color="auto"/>
                                                                                              </w:divBdr>
                                                                                              <w:divsChild>
                                                                                                <w:div w:id="3937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0916250">
      <w:bodyDiv w:val="1"/>
      <w:marLeft w:val="0"/>
      <w:marRight w:val="0"/>
      <w:marTop w:val="0"/>
      <w:marBottom w:val="0"/>
      <w:divBdr>
        <w:top w:val="none" w:sz="0" w:space="0" w:color="auto"/>
        <w:left w:val="none" w:sz="0" w:space="0" w:color="auto"/>
        <w:bottom w:val="none" w:sz="0" w:space="0" w:color="auto"/>
        <w:right w:val="none" w:sz="0" w:space="0" w:color="auto"/>
      </w:divBdr>
    </w:div>
    <w:div w:id="1218664499">
      <w:bodyDiv w:val="1"/>
      <w:marLeft w:val="0"/>
      <w:marRight w:val="0"/>
      <w:marTop w:val="0"/>
      <w:marBottom w:val="0"/>
      <w:divBdr>
        <w:top w:val="none" w:sz="0" w:space="0" w:color="auto"/>
        <w:left w:val="none" w:sz="0" w:space="0" w:color="auto"/>
        <w:bottom w:val="none" w:sz="0" w:space="0" w:color="auto"/>
        <w:right w:val="none" w:sz="0" w:space="0" w:color="auto"/>
      </w:divBdr>
    </w:div>
    <w:div w:id="1234774641">
      <w:bodyDiv w:val="1"/>
      <w:marLeft w:val="0"/>
      <w:marRight w:val="0"/>
      <w:marTop w:val="0"/>
      <w:marBottom w:val="0"/>
      <w:divBdr>
        <w:top w:val="none" w:sz="0" w:space="0" w:color="auto"/>
        <w:left w:val="none" w:sz="0" w:space="0" w:color="auto"/>
        <w:bottom w:val="none" w:sz="0" w:space="0" w:color="auto"/>
        <w:right w:val="none" w:sz="0" w:space="0" w:color="auto"/>
      </w:divBdr>
    </w:div>
    <w:div w:id="1260260370">
      <w:bodyDiv w:val="1"/>
      <w:marLeft w:val="0"/>
      <w:marRight w:val="0"/>
      <w:marTop w:val="0"/>
      <w:marBottom w:val="0"/>
      <w:divBdr>
        <w:top w:val="none" w:sz="0" w:space="0" w:color="auto"/>
        <w:left w:val="none" w:sz="0" w:space="0" w:color="auto"/>
        <w:bottom w:val="none" w:sz="0" w:space="0" w:color="auto"/>
        <w:right w:val="none" w:sz="0" w:space="0" w:color="auto"/>
      </w:divBdr>
    </w:div>
    <w:div w:id="1291596998">
      <w:bodyDiv w:val="1"/>
      <w:marLeft w:val="0"/>
      <w:marRight w:val="0"/>
      <w:marTop w:val="0"/>
      <w:marBottom w:val="0"/>
      <w:divBdr>
        <w:top w:val="none" w:sz="0" w:space="0" w:color="auto"/>
        <w:left w:val="none" w:sz="0" w:space="0" w:color="auto"/>
        <w:bottom w:val="none" w:sz="0" w:space="0" w:color="auto"/>
        <w:right w:val="none" w:sz="0" w:space="0" w:color="auto"/>
      </w:divBdr>
    </w:div>
    <w:div w:id="1303659732">
      <w:bodyDiv w:val="1"/>
      <w:marLeft w:val="0"/>
      <w:marRight w:val="0"/>
      <w:marTop w:val="0"/>
      <w:marBottom w:val="0"/>
      <w:divBdr>
        <w:top w:val="none" w:sz="0" w:space="0" w:color="auto"/>
        <w:left w:val="none" w:sz="0" w:space="0" w:color="auto"/>
        <w:bottom w:val="none" w:sz="0" w:space="0" w:color="auto"/>
        <w:right w:val="none" w:sz="0" w:space="0" w:color="auto"/>
      </w:divBdr>
      <w:divsChild>
        <w:div w:id="1878807923">
          <w:marLeft w:val="0"/>
          <w:marRight w:val="0"/>
          <w:marTop w:val="0"/>
          <w:marBottom w:val="0"/>
          <w:divBdr>
            <w:top w:val="none" w:sz="0" w:space="0" w:color="auto"/>
            <w:left w:val="none" w:sz="0" w:space="0" w:color="auto"/>
            <w:bottom w:val="none" w:sz="0" w:space="0" w:color="auto"/>
            <w:right w:val="none" w:sz="0" w:space="0" w:color="auto"/>
          </w:divBdr>
          <w:divsChild>
            <w:div w:id="238828488">
              <w:marLeft w:val="-225"/>
              <w:marRight w:val="-225"/>
              <w:marTop w:val="0"/>
              <w:marBottom w:val="0"/>
              <w:divBdr>
                <w:top w:val="none" w:sz="0" w:space="0" w:color="auto"/>
                <w:left w:val="none" w:sz="0" w:space="0" w:color="auto"/>
                <w:bottom w:val="none" w:sz="0" w:space="0" w:color="auto"/>
                <w:right w:val="none" w:sz="0" w:space="0" w:color="auto"/>
              </w:divBdr>
              <w:divsChild>
                <w:div w:id="1000736842">
                  <w:marLeft w:val="0"/>
                  <w:marRight w:val="0"/>
                  <w:marTop w:val="0"/>
                  <w:marBottom w:val="0"/>
                  <w:divBdr>
                    <w:top w:val="none" w:sz="0" w:space="0" w:color="auto"/>
                    <w:left w:val="none" w:sz="0" w:space="0" w:color="auto"/>
                    <w:bottom w:val="none" w:sz="0" w:space="0" w:color="auto"/>
                    <w:right w:val="none" w:sz="0" w:space="0" w:color="auto"/>
                  </w:divBdr>
                  <w:divsChild>
                    <w:div w:id="1202477948">
                      <w:marLeft w:val="0"/>
                      <w:marRight w:val="0"/>
                      <w:marTop w:val="0"/>
                      <w:marBottom w:val="0"/>
                      <w:divBdr>
                        <w:top w:val="none" w:sz="0" w:space="0" w:color="auto"/>
                        <w:left w:val="none" w:sz="0" w:space="0" w:color="auto"/>
                        <w:bottom w:val="none" w:sz="0" w:space="0" w:color="auto"/>
                        <w:right w:val="none" w:sz="0" w:space="0" w:color="auto"/>
                      </w:divBdr>
                      <w:divsChild>
                        <w:div w:id="1218127600">
                          <w:marLeft w:val="0"/>
                          <w:marRight w:val="0"/>
                          <w:marTop w:val="0"/>
                          <w:marBottom w:val="0"/>
                          <w:divBdr>
                            <w:top w:val="none" w:sz="0" w:space="0" w:color="auto"/>
                            <w:left w:val="none" w:sz="0" w:space="0" w:color="auto"/>
                            <w:bottom w:val="none" w:sz="0" w:space="0" w:color="auto"/>
                            <w:right w:val="none" w:sz="0" w:space="0" w:color="auto"/>
                          </w:divBdr>
                          <w:divsChild>
                            <w:div w:id="1407221060">
                              <w:marLeft w:val="0"/>
                              <w:marRight w:val="0"/>
                              <w:marTop w:val="0"/>
                              <w:marBottom w:val="0"/>
                              <w:divBdr>
                                <w:top w:val="none" w:sz="0" w:space="0" w:color="auto"/>
                                <w:left w:val="none" w:sz="0" w:space="0" w:color="auto"/>
                                <w:bottom w:val="none" w:sz="0" w:space="0" w:color="auto"/>
                                <w:right w:val="none" w:sz="0" w:space="0" w:color="auto"/>
                              </w:divBdr>
                              <w:divsChild>
                                <w:div w:id="290984193">
                                  <w:marLeft w:val="0"/>
                                  <w:marRight w:val="0"/>
                                  <w:marTop w:val="0"/>
                                  <w:marBottom w:val="0"/>
                                  <w:divBdr>
                                    <w:top w:val="none" w:sz="0" w:space="0" w:color="auto"/>
                                    <w:left w:val="none" w:sz="0" w:space="0" w:color="auto"/>
                                    <w:bottom w:val="none" w:sz="0" w:space="0" w:color="auto"/>
                                    <w:right w:val="none" w:sz="0" w:space="0" w:color="auto"/>
                                  </w:divBdr>
                                  <w:divsChild>
                                    <w:div w:id="501316420">
                                      <w:marLeft w:val="0"/>
                                      <w:marRight w:val="0"/>
                                      <w:marTop w:val="0"/>
                                      <w:marBottom w:val="0"/>
                                      <w:divBdr>
                                        <w:top w:val="none" w:sz="0" w:space="0" w:color="auto"/>
                                        <w:left w:val="none" w:sz="0" w:space="0" w:color="auto"/>
                                        <w:bottom w:val="none" w:sz="0" w:space="0" w:color="auto"/>
                                        <w:right w:val="none" w:sz="0" w:space="0" w:color="auto"/>
                                      </w:divBdr>
                                      <w:divsChild>
                                        <w:div w:id="386415721">
                                          <w:marLeft w:val="0"/>
                                          <w:marRight w:val="0"/>
                                          <w:marTop w:val="0"/>
                                          <w:marBottom w:val="0"/>
                                          <w:divBdr>
                                            <w:top w:val="none" w:sz="0" w:space="0" w:color="auto"/>
                                            <w:left w:val="none" w:sz="0" w:space="0" w:color="auto"/>
                                            <w:bottom w:val="none" w:sz="0" w:space="0" w:color="auto"/>
                                            <w:right w:val="none" w:sz="0" w:space="0" w:color="auto"/>
                                          </w:divBdr>
                                          <w:divsChild>
                                            <w:div w:id="1371105081">
                                              <w:marLeft w:val="0"/>
                                              <w:marRight w:val="0"/>
                                              <w:marTop w:val="0"/>
                                              <w:marBottom w:val="0"/>
                                              <w:divBdr>
                                                <w:top w:val="none" w:sz="0" w:space="0" w:color="auto"/>
                                                <w:left w:val="none" w:sz="0" w:space="0" w:color="auto"/>
                                                <w:bottom w:val="none" w:sz="0" w:space="0" w:color="auto"/>
                                                <w:right w:val="none" w:sz="0" w:space="0" w:color="auto"/>
                                              </w:divBdr>
                                              <w:divsChild>
                                                <w:div w:id="1849639169">
                                                  <w:marLeft w:val="0"/>
                                                  <w:marRight w:val="0"/>
                                                  <w:marTop w:val="0"/>
                                                  <w:marBottom w:val="0"/>
                                                  <w:divBdr>
                                                    <w:top w:val="none" w:sz="0" w:space="0" w:color="auto"/>
                                                    <w:left w:val="none" w:sz="0" w:space="0" w:color="auto"/>
                                                    <w:bottom w:val="none" w:sz="0" w:space="0" w:color="auto"/>
                                                    <w:right w:val="none" w:sz="0" w:space="0" w:color="auto"/>
                                                  </w:divBdr>
                                                  <w:divsChild>
                                                    <w:div w:id="1099570808">
                                                      <w:marLeft w:val="0"/>
                                                      <w:marRight w:val="0"/>
                                                      <w:marTop w:val="0"/>
                                                      <w:marBottom w:val="0"/>
                                                      <w:divBdr>
                                                        <w:top w:val="none" w:sz="0" w:space="0" w:color="auto"/>
                                                        <w:left w:val="none" w:sz="0" w:space="0" w:color="auto"/>
                                                        <w:bottom w:val="none" w:sz="0" w:space="0" w:color="auto"/>
                                                        <w:right w:val="none" w:sz="0" w:space="0" w:color="auto"/>
                                                      </w:divBdr>
                                                      <w:divsChild>
                                                        <w:div w:id="115626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70466">
                                          <w:marLeft w:val="0"/>
                                          <w:marRight w:val="0"/>
                                          <w:marTop w:val="0"/>
                                          <w:marBottom w:val="0"/>
                                          <w:divBdr>
                                            <w:top w:val="none" w:sz="0" w:space="0" w:color="auto"/>
                                            <w:left w:val="none" w:sz="0" w:space="0" w:color="auto"/>
                                            <w:bottom w:val="none" w:sz="0" w:space="0" w:color="auto"/>
                                            <w:right w:val="none" w:sz="0" w:space="0" w:color="auto"/>
                                          </w:divBdr>
                                          <w:divsChild>
                                            <w:div w:id="428429692">
                                              <w:marLeft w:val="0"/>
                                              <w:marRight w:val="0"/>
                                              <w:marTop w:val="0"/>
                                              <w:marBottom w:val="450"/>
                                              <w:divBdr>
                                                <w:top w:val="none" w:sz="0" w:space="0" w:color="auto"/>
                                                <w:left w:val="none" w:sz="0" w:space="0" w:color="auto"/>
                                                <w:bottom w:val="none" w:sz="0" w:space="0" w:color="auto"/>
                                                <w:right w:val="none" w:sz="0" w:space="0" w:color="auto"/>
                                              </w:divBdr>
                                              <w:divsChild>
                                                <w:div w:id="1963611426">
                                                  <w:marLeft w:val="0"/>
                                                  <w:marRight w:val="0"/>
                                                  <w:marTop w:val="0"/>
                                                  <w:marBottom w:val="0"/>
                                                  <w:divBdr>
                                                    <w:top w:val="none" w:sz="0" w:space="0" w:color="auto"/>
                                                    <w:left w:val="none" w:sz="0" w:space="0" w:color="auto"/>
                                                    <w:bottom w:val="none" w:sz="0" w:space="0" w:color="auto"/>
                                                    <w:right w:val="none" w:sz="0" w:space="0" w:color="auto"/>
                                                  </w:divBdr>
                                                  <w:divsChild>
                                                    <w:div w:id="883982281">
                                                      <w:marLeft w:val="0"/>
                                                      <w:marRight w:val="0"/>
                                                      <w:marTop w:val="0"/>
                                                      <w:marBottom w:val="0"/>
                                                      <w:divBdr>
                                                        <w:top w:val="none" w:sz="0" w:space="0" w:color="auto"/>
                                                        <w:left w:val="none" w:sz="0" w:space="0" w:color="auto"/>
                                                        <w:bottom w:val="none" w:sz="0" w:space="0" w:color="auto"/>
                                                        <w:right w:val="none" w:sz="0" w:space="0" w:color="auto"/>
                                                      </w:divBdr>
                                                      <w:divsChild>
                                                        <w:div w:id="6156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355">
                                          <w:marLeft w:val="0"/>
                                          <w:marRight w:val="0"/>
                                          <w:marTop w:val="0"/>
                                          <w:marBottom w:val="0"/>
                                          <w:divBdr>
                                            <w:top w:val="none" w:sz="0" w:space="0" w:color="auto"/>
                                            <w:left w:val="none" w:sz="0" w:space="0" w:color="auto"/>
                                            <w:bottom w:val="none" w:sz="0" w:space="0" w:color="auto"/>
                                            <w:right w:val="none" w:sz="0" w:space="0" w:color="auto"/>
                                          </w:divBdr>
                                          <w:divsChild>
                                            <w:div w:id="465468598">
                                              <w:marLeft w:val="0"/>
                                              <w:marRight w:val="0"/>
                                              <w:marTop w:val="0"/>
                                              <w:marBottom w:val="0"/>
                                              <w:divBdr>
                                                <w:top w:val="none" w:sz="0" w:space="0" w:color="auto"/>
                                                <w:left w:val="none" w:sz="0" w:space="0" w:color="auto"/>
                                                <w:bottom w:val="none" w:sz="0" w:space="0" w:color="auto"/>
                                                <w:right w:val="none" w:sz="0" w:space="0" w:color="auto"/>
                                              </w:divBdr>
                                              <w:divsChild>
                                                <w:div w:id="170534165">
                                                  <w:marLeft w:val="0"/>
                                                  <w:marRight w:val="0"/>
                                                  <w:marTop w:val="0"/>
                                                  <w:marBottom w:val="0"/>
                                                  <w:divBdr>
                                                    <w:top w:val="none" w:sz="0" w:space="0" w:color="auto"/>
                                                    <w:left w:val="none" w:sz="0" w:space="0" w:color="auto"/>
                                                    <w:bottom w:val="none" w:sz="0" w:space="0" w:color="auto"/>
                                                    <w:right w:val="none" w:sz="0" w:space="0" w:color="auto"/>
                                                  </w:divBdr>
                                                  <w:divsChild>
                                                    <w:div w:id="682240650">
                                                      <w:marLeft w:val="0"/>
                                                      <w:marRight w:val="0"/>
                                                      <w:marTop w:val="0"/>
                                                      <w:marBottom w:val="0"/>
                                                      <w:divBdr>
                                                        <w:top w:val="none" w:sz="0" w:space="0" w:color="auto"/>
                                                        <w:left w:val="none" w:sz="0" w:space="0" w:color="auto"/>
                                                        <w:bottom w:val="none" w:sz="0" w:space="0" w:color="auto"/>
                                                        <w:right w:val="none" w:sz="0" w:space="0" w:color="auto"/>
                                                      </w:divBdr>
                                                      <w:divsChild>
                                                        <w:div w:id="28396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9817632">
      <w:bodyDiv w:val="1"/>
      <w:marLeft w:val="0"/>
      <w:marRight w:val="0"/>
      <w:marTop w:val="0"/>
      <w:marBottom w:val="0"/>
      <w:divBdr>
        <w:top w:val="none" w:sz="0" w:space="0" w:color="auto"/>
        <w:left w:val="none" w:sz="0" w:space="0" w:color="auto"/>
        <w:bottom w:val="none" w:sz="0" w:space="0" w:color="auto"/>
        <w:right w:val="none" w:sz="0" w:space="0" w:color="auto"/>
      </w:divBdr>
    </w:div>
    <w:div w:id="1327056148">
      <w:bodyDiv w:val="1"/>
      <w:marLeft w:val="0"/>
      <w:marRight w:val="0"/>
      <w:marTop w:val="0"/>
      <w:marBottom w:val="0"/>
      <w:divBdr>
        <w:top w:val="none" w:sz="0" w:space="0" w:color="auto"/>
        <w:left w:val="none" w:sz="0" w:space="0" w:color="auto"/>
        <w:bottom w:val="none" w:sz="0" w:space="0" w:color="auto"/>
        <w:right w:val="none" w:sz="0" w:space="0" w:color="auto"/>
      </w:divBdr>
    </w:div>
    <w:div w:id="1333795195">
      <w:bodyDiv w:val="1"/>
      <w:marLeft w:val="0"/>
      <w:marRight w:val="0"/>
      <w:marTop w:val="0"/>
      <w:marBottom w:val="0"/>
      <w:divBdr>
        <w:top w:val="none" w:sz="0" w:space="0" w:color="auto"/>
        <w:left w:val="none" w:sz="0" w:space="0" w:color="auto"/>
        <w:bottom w:val="none" w:sz="0" w:space="0" w:color="auto"/>
        <w:right w:val="none" w:sz="0" w:space="0" w:color="auto"/>
      </w:divBdr>
    </w:div>
    <w:div w:id="1335649436">
      <w:bodyDiv w:val="1"/>
      <w:marLeft w:val="0"/>
      <w:marRight w:val="0"/>
      <w:marTop w:val="0"/>
      <w:marBottom w:val="0"/>
      <w:divBdr>
        <w:top w:val="none" w:sz="0" w:space="0" w:color="auto"/>
        <w:left w:val="none" w:sz="0" w:space="0" w:color="auto"/>
        <w:bottom w:val="none" w:sz="0" w:space="0" w:color="auto"/>
        <w:right w:val="none" w:sz="0" w:space="0" w:color="auto"/>
      </w:divBdr>
    </w:div>
    <w:div w:id="1375891055">
      <w:bodyDiv w:val="1"/>
      <w:marLeft w:val="0"/>
      <w:marRight w:val="0"/>
      <w:marTop w:val="0"/>
      <w:marBottom w:val="0"/>
      <w:divBdr>
        <w:top w:val="none" w:sz="0" w:space="0" w:color="auto"/>
        <w:left w:val="none" w:sz="0" w:space="0" w:color="auto"/>
        <w:bottom w:val="none" w:sz="0" w:space="0" w:color="auto"/>
        <w:right w:val="none" w:sz="0" w:space="0" w:color="auto"/>
      </w:divBdr>
    </w:div>
    <w:div w:id="1395080023">
      <w:bodyDiv w:val="1"/>
      <w:marLeft w:val="0"/>
      <w:marRight w:val="0"/>
      <w:marTop w:val="0"/>
      <w:marBottom w:val="0"/>
      <w:divBdr>
        <w:top w:val="none" w:sz="0" w:space="0" w:color="auto"/>
        <w:left w:val="none" w:sz="0" w:space="0" w:color="auto"/>
        <w:bottom w:val="none" w:sz="0" w:space="0" w:color="auto"/>
        <w:right w:val="none" w:sz="0" w:space="0" w:color="auto"/>
      </w:divBdr>
      <w:divsChild>
        <w:div w:id="273483831">
          <w:marLeft w:val="446"/>
          <w:marRight w:val="0"/>
          <w:marTop w:val="0"/>
          <w:marBottom w:val="0"/>
          <w:divBdr>
            <w:top w:val="none" w:sz="0" w:space="0" w:color="auto"/>
            <w:left w:val="none" w:sz="0" w:space="0" w:color="auto"/>
            <w:bottom w:val="none" w:sz="0" w:space="0" w:color="auto"/>
            <w:right w:val="none" w:sz="0" w:space="0" w:color="auto"/>
          </w:divBdr>
        </w:div>
        <w:div w:id="1466695890">
          <w:marLeft w:val="446"/>
          <w:marRight w:val="0"/>
          <w:marTop w:val="0"/>
          <w:marBottom w:val="0"/>
          <w:divBdr>
            <w:top w:val="none" w:sz="0" w:space="0" w:color="auto"/>
            <w:left w:val="none" w:sz="0" w:space="0" w:color="auto"/>
            <w:bottom w:val="none" w:sz="0" w:space="0" w:color="auto"/>
            <w:right w:val="none" w:sz="0" w:space="0" w:color="auto"/>
          </w:divBdr>
        </w:div>
        <w:div w:id="1026954151">
          <w:marLeft w:val="446"/>
          <w:marRight w:val="0"/>
          <w:marTop w:val="0"/>
          <w:marBottom w:val="0"/>
          <w:divBdr>
            <w:top w:val="none" w:sz="0" w:space="0" w:color="auto"/>
            <w:left w:val="none" w:sz="0" w:space="0" w:color="auto"/>
            <w:bottom w:val="none" w:sz="0" w:space="0" w:color="auto"/>
            <w:right w:val="none" w:sz="0" w:space="0" w:color="auto"/>
          </w:divBdr>
        </w:div>
        <w:div w:id="1167093570">
          <w:marLeft w:val="446"/>
          <w:marRight w:val="0"/>
          <w:marTop w:val="0"/>
          <w:marBottom w:val="0"/>
          <w:divBdr>
            <w:top w:val="none" w:sz="0" w:space="0" w:color="auto"/>
            <w:left w:val="none" w:sz="0" w:space="0" w:color="auto"/>
            <w:bottom w:val="none" w:sz="0" w:space="0" w:color="auto"/>
            <w:right w:val="none" w:sz="0" w:space="0" w:color="auto"/>
          </w:divBdr>
        </w:div>
      </w:divsChild>
    </w:div>
    <w:div w:id="1395395595">
      <w:bodyDiv w:val="1"/>
      <w:marLeft w:val="0"/>
      <w:marRight w:val="0"/>
      <w:marTop w:val="0"/>
      <w:marBottom w:val="0"/>
      <w:divBdr>
        <w:top w:val="none" w:sz="0" w:space="0" w:color="auto"/>
        <w:left w:val="none" w:sz="0" w:space="0" w:color="auto"/>
        <w:bottom w:val="none" w:sz="0" w:space="0" w:color="auto"/>
        <w:right w:val="none" w:sz="0" w:space="0" w:color="auto"/>
      </w:divBdr>
    </w:div>
    <w:div w:id="1404570512">
      <w:bodyDiv w:val="1"/>
      <w:marLeft w:val="0"/>
      <w:marRight w:val="0"/>
      <w:marTop w:val="0"/>
      <w:marBottom w:val="0"/>
      <w:divBdr>
        <w:top w:val="none" w:sz="0" w:space="0" w:color="auto"/>
        <w:left w:val="none" w:sz="0" w:space="0" w:color="auto"/>
        <w:bottom w:val="none" w:sz="0" w:space="0" w:color="auto"/>
        <w:right w:val="none" w:sz="0" w:space="0" w:color="auto"/>
      </w:divBdr>
    </w:div>
    <w:div w:id="1406731128">
      <w:bodyDiv w:val="1"/>
      <w:marLeft w:val="0"/>
      <w:marRight w:val="0"/>
      <w:marTop w:val="0"/>
      <w:marBottom w:val="0"/>
      <w:divBdr>
        <w:top w:val="none" w:sz="0" w:space="0" w:color="auto"/>
        <w:left w:val="none" w:sz="0" w:space="0" w:color="auto"/>
        <w:bottom w:val="none" w:sz="0" w:space="0" w:color="auto"/>
        <w:right w:val="none" w:sz="0" w:space="0" w:color="auto"/>
      </w:divBdr>
    </w:div>
    <w:div w:id="1417896610">
      <w:bodyDiv w:val="1"/>
      <w:marLeft w:val="0"/>
      <w:marRight w:val="0"/>
      <w:marTop w:val="0"/>
      <w:marBottom w:val="0"/>
      <w:divBdr>
        <w:top w:val="none" w:sz="0" w:space="0" w:color="auto"/>
        <w:left w:val="none" w:sz="0" w:space="0" w:color="auto"/>
        <w:bottom w:val="none" w:sz="0" w:space="0" w:color="auto"/>
        <w:right w:val="none" w:sz="0" w:space="0" w:color="auto"/>
      </w:divBdr>
      <w:divsChild>
        <w:div w:id="2064940229">
          <w:marLeft w:val="446"/>
          <w:marRight w:val="0"/>
          <w:marTop w:val="0"/>
          <w:marBottom w:val="0"/>
          <w:divBdr>
            <w:top w:val="none" w:sz="0" w:space="0" w:color="auto"/>
            <w:left w:val="none" w:sz="0" w:space="0" w:color="auto"/>
            <w:bottom w:val="none" w:sz="0" w:space="0" w:color="auto"/>
            <w:right w:val="none" w:sz="0" w:space="0" w:color="auto"/>
          </w:divBdr>
        </w:div>
        <w:div w:id="1891769487">
          <w:marLeft w:val="446"/>
          <w:marRight w:val="0"/>
          <w:marTop w:val="0"/>
          <w:marBottom w:val="0"/>
          <w:divBdr>
            <w:top w:val="none" w:sz="0" w:space="0" w:color="auto"/>
            <w:left w:val="none" w:sz="0" w:space="0" w:color="auto"/>
            <w:bottom w:val="none" w:sz="0" w:space="0" w:color="auto"/>
            <w:right w:val="none" w:sz="0" w:space="0" w:color="auto"/>
          </w:divBdr>
        </w:div>
        <w:div w:id="822770937">
          <w:marLeft w:val="446"/>
          <w:marRight w:val="0"/>
          <w:marTop w:val="0"/>
          <w:marBottom w:val="0"/>
          <w:divBdr>
            <w:top w:val="none" w:sz="0" w:space="0" w:color="auto"/>
            <w:left w:val="none" w:sz="0" w:space="0" w:color="auto"/>
            <w:bottom w:val="none" w:sz="0" w:space="0" w:color="auto"/>
            <w:right w:val="none" w:sz="0" w:space="0" w:color="auto"/>
          </w:divBdr>
        </w:div>
        <w:div w:id="489634774">
          <w:marLeft w:val="446"/>
          <w:marRight w:val="0"/>
          <w:marTop w:val="0"/>
          <w:marBottom w:val="0"/>
          <w:divBdr>
            <w:top w:val="none" w:sz="0" w:space="0" w:color="auto"/>
            <w:left w:val="none" w:sz="0" w:space="0" w:color="auto"/>
            <w:bottom w:val="none" w:sz="0" w:space="0" w:color="auto"/>
            <w:right w:val="none" w:sz="0" w:space="0" w:color="auto"/>
          </w:divBdr>
        </w:div>
        <w:div w:id="1334526440">
          <w:marLeft w:val="446"/>
          <w:marRight w:val="0"/>
          <w:marTop w:val="0"/>
          <w:marBottom w:val="0"/>
          <w:divBdr>
            <w:top w:val="none" w:sz="0" w:space="0" w:color="auto"/>
            <w:left w:val="none" w:sz="0" w:space="0" w:color="auto"/>
            <w:bottom w:val="none" w:sz="0" w:space="0" w:color="auto"/>
            <w:right w:val="none" w:sz="0" w:space="0" w:color="auto"/>
          </w:divBdr>
        </w:div>
        <w:div w:id="260996540">
          <w:marLeft w:val="446"/>
          <w:marRight w:val="0"/>
          <w:marTop w:val="0"/>
          <w:marBottom w:val="0"/>
          <w:divBdr>
            <w:top w:val="none" w:sz="0" w:space="0" w:color="auto"/>
            <w:left w:val="none" w:sz="0" w:space="0" w:color="auto"/>
            <w:bottom w:val="none" w:sz="0" w:space="0" w:color="auto"/>
            <w:right w:val="none" w:sz="0" w:space="0" w:color="auto"/>
          </w:divBdr>
        </w:div>
        <w:div w:id="217980996">
          <w:marLeft w:val="446"/>
          <w:marRight w:val="0"/>
          <w:marTop w:val="0"/>
          <w:marBottom w:val="0"/>
          <w:divBdr>
            <w:top w:val="none" w:sz="0" w:space="0" w:color="auto"/>
            <w:left w:val="none" w:sz="0" w:space="0" w:color="auto"/>
            <w:bottom w:val="none" w:sz="0" w:space="0" w:color="auto"/>
            <w:right w:val="none" w:sz="0" w:space="0" w:color="auto"/>
          </w:divBdr>
        </w:div>
        <w:div w:id="1461193411">
          <w:marLeft w:val="446"/>
          <w:marRight w:val="0"/>
          <w:marTop w:val="0"/>
          <w:marBottom w:val="0"/>
          <w:divBdr>
            <w:top w:val="none" w:sz="0" w:space="0" w:color="auto"/>
            <w:left w:val="none" w:sz="0" w:space="0" w:color="auto"/>
            <w:bottom w:val="none" w:sz="0" w:space="0" w:color="auto"/>
            <w:right w:val="none" w:sz="0" w:space="0" w:color="auto"/>
          </w:divBdr>
        </w:div>
        <w:div w:id="272176241">
          <w:marLeft w:val="446"/>
          <w:marRight w:val="0"/>
          <w:marTop w:val="0"/>
          <w:marBottom w:val="0"/>
          <w:divBdr>
            <w:top w:val="none" w:sz="0" w:space="0" w:color="auto"/>
            <w:left w:val="none" w:sz="0" w:space="0" w:color="auto"/>
            <w:bottom w:val="none" w:sz="0" w:space="0" w:color="auto"/>
            <w:right w:val="none" w:sz="0" w:space="0" w:color="auto"/>
          </w:divBdr>
        </w:div>
      </w:divsChild>
    </w:div>
    <w:div w:id="1465805592">
      <w:bodyDiv w:val="1"/>
      <w:marLeft w:val="0"/>
      <w:marRight w:val="0"/>
      <w:marTop w:val="0"/>
      <w:marBottom w:val="0"/>
      <w:divBdr>
        <w:top w:val="none" w:sz="0" w:space="0" w:color="auto"/>
        <w:left w:val="none" w:sz="0" w:space="0" w:color="auto"/>
        <w:bottom w:val="none" w:sz="0" w:space="0" w:color="auto"/>
        <w:right w:val="none" w:sz="0" w:space="0" w:color="auto"/>
      </w:divBdr>
    </w:div>
    <w:div w:id="1466971218">
      <w:bodyDiv w:val="1"/>
      <w:marLeft w:val="0"/>
      <w:marRight w:val="0"/>
      <w:marTop w:val="0"/>
      <w:marBottom w:val="0"/>
      <w:divBdr>
        <w:top w:val="none" w:sz="0" w:space="0" w:color="auto"/>
        <w:left w:val="none" w:sz="0" w:space="0" w:color="auto"/>
        <w:bottom w:val="none" w:sz="0" w:space="0" w:color="auto"/>
        <w:right w:val="none" w:sz="0" w:space="0" w:color="auto"/>
      </w:divBdr>
    </w:div>
    <w:div w:id="1480995786">
      <w:bodyDiv w:val="1"/>
      <w:marLeft w:val="0"/>
      <w:marRight w:val="0"/>
      <w:marTop w:val="0"/>
      <w:marBottom w:val="0"/>
      <w:divBdr>
        <w:top w:val="none" w:sz="0" w:space="0" w:color="auto"/>
        <w:left w:val="none" w:sz="0" w:space="0" w:color="auto"/>
        <w:bottom w:val="none" w:sz="0" w:space="0" w:color="auto"/>
        <w:right w:val="none" w:sz="0" w:space="0" w:color="auto"/>
      </w:divBdr>
    </w:div>
    <w:div w:id="1513490625">
      <w:bodyDiv w:val="1"/>
      <w:marLeft w:val="0"/>
      <w:marRight w:val="0"/>
      <w:marTop w:val="0"/>
      <w:marBottom w:val="0"/>
      <w:divBdr>
        <w:top w:val="none" w:sz="0" w:space="0" w:color="auto"/>
        <w:left w:val="none" w:sz="0" w:space="0" w:color="auto"/>
        <w:bottom w:val="none" w:sz="0" w:space="0" w:color="auto"/>
        <w:right w:val="none" w:sz="0" w:space="0" w:color="auto"/>
      </w:divBdr>
    </w:div>
    <w:div w:id="1518040849">
      <w:bodyDiv w:val="1"/>
      <w:marLeft w:val="0"/>
      <w:marRight w:val="0"/>
      <w:marTop w:val="0"/>
      <w:marBottom w:val="0"/>
      <w:divBdr>
        <w:top w:val="none" w:sz="0" w:space="0" w:color="auto"/>
        <w:left w:val="none" w:sz="0" w:space="0" w:color="auto"/>
        <w:bottom w:val="none" w:sz="0" w:space="0" w:color="auto"/>
        <w:right w:val="none" w:sz="0" w:space="0" w:color="auto"/>
      </w:divBdr>
    </w:div>
    <w:div w:id="1553617391">
      <w:bodyDiv w:val="1"/>
      <w:marLeft w:val="0"/>
      <w:marRight w:val="0"/>
      <w:marTop w:val="0"/>
      <w:marBottom w:val="0"/>
      <w:divBdr>
        <w:top w:val="none" w:sz="0" w:space="0" w:color="auto"/>
        <w:left w:val="none" w:sz="0" w:space="0" w:color="auto"/>
        <w:bottom w:val="none" w:sz="0" w:space="0" w:color="auto"/>
        <w:right w:val="none" w:sz="0" w:space="0" w:color="auto"/>
      </w:divBdr>
    </w:div>
    <w:div w:id="1557544944">
      <w:bodyDiv w:val="1"/>
      <w:marLeft w:val="0"/>
      <w:marRight w:val="0"/>
      <w:marTop w:val="0"/>
      <w:marBottom w:val="0"/>
      <w:divBdr>
        <w:top w:val="none" w:sz="0" w:space="0" w:color="auto"/>
        <w:left w:val="none" w:sz="0" w:space="0" w:color="auto"/>
        <w:bottom w:val="none" w:sz="0" w:space="0" w:color="auto"/>
        <w:right w:val="none" w:sz="0" w:space="0" w:color="auto"/>
      </w:divBdr>
    </w:div>
    <w:div w:id="1570068763">
      <w:bodyDiv w:val="1"/>
      <w:marLeft w:val="0"/>
      <w:marRight w:val="0"/>
      <w:marTop w:val="0"/>
      <w:marBottom w:val="0"/>
      <w:divBdr>
        <w:top w:val="none" w:sz="0" w:space="0" w:color="auto"/>
        <w:left w:val="none" w:sz="0" w:space="0" w:color="auto"/>
        <w:bottom w:val="none" w:sz="0" w:space="0" w:color="auto"/>
        <w:right w:val="none" w:sz="0" w:space="0" w:color="auto"/>
      </w:divBdr>
    </w:div>
    <w:div w:id="1572233741">
      <w:bodyDiv w:val="1"/>
      <w:marLeft w:val="0"/>
      <w:marRight w:val="0"/>
      <w:marTop w:val="0"/>
      <w:marBottom w:val="0"/>
      <w:divBdr>
        <w:top w:val="none" w:sz="0" w:space="0" w:color="auto"/>
        <w:left w:val="none" w:sz="0" w:space="0" w:color="auto"/>
        <w:bottom w:val="none" w:sz="0" w:space="0" w:color="auto"/>
        <w:right w:val="none" w:sz="0" w:space="0" w:color="auto"/>
      </w:divBdr>
    </w:div>
    <w:div w:id="1577278796">
      <w:bodyDiv w:val="1"/>
      <w:marLeft w:val="0"/>
      <w:marRight w:val="0"/>
      <w:marTop w:val="0"/>
      <w:marBottom w:val="0"/>
      <w:divBdr>
        <w:top w:val="none" w:sz="0" w:space="0" w:color="auto"/>
        <w:left w:val="none" w:sz="0" w:space="0" w:color="auto"/>
        <w:bottom w:val="none" w:sz="0" w:space="0" w:color="auto"/>
        <w:right w:val="none" w:sz="0" w:space="0" w:color="auto"/>
      </w:divBdr>
    </w:div>
    <w:div w:id="1577783314">
      <w:bodyDiv w:val="1"/>
      <w:marLeft w:val="0"/>
      <w:marRight w:val="0"/>
      <w:marTop w:val="0"/>
      <w:marBottom w:val="0"/>
      <w:divBdr>
        <w:top w:val="none" w:sz="0" w:space="0" w:color="auto"/>
        <w:left w:val="none" w:sz="0" w:space="0" w:color="auto"/>
        <w:bottom w:val="none" w:sz="0" w:space="0" w:color="auto"/>
        <w:right w:val="none" w:sz="0" w:space="0" w:color="auto"/>
      </w:divBdr>
    </w:div>
    <w:div w:id="1578830403">
      <w:bodyDiv w:val="1"/>
      <w:marLeft w:val="0"/>
      <w:marRight w:val="0"/>
      <w:marTop w:val="0"/>
      <w:marBottom w:val="0"/>
      <w:divBdr>
        <w:top w:val="none" w:sz="0" w:space="0" w:color="auto"/>
        <w:left w:val="none" w:sz="0" w:space="0" w:color="auto"/>
        <w:bottom w:val="none" w:sz="0" w:space="0" w:color="auto"/>
        <w:right w:val="none" w:sz="0" w:space="0" w:color="auto"/>
      </w:divBdr>
    </w:div>
    <w:div w:id="1602180007">
      <w:bodyDiv w:val="1"/>
      <w:marLeft w:val="0"/>
      <w:marRight w:val="0"/>
      <w:marTop w:val="0"/>
      <w:marBottom w:val="0"/>
      <w:divBdr>
        <w:top w:val="none" w:sz="0" w:space="0" w:color="auto"/>
        <w:left w:val="none" w:sz="0" w:space="0" w:color="auto"/>
        <w:bottom w:val="none" w:sz="0" w:space="0" w:color="auto"/>
        <w:right w:val="none" w:sz="0" w:space="0" w:color="auto"/>
      </w:divBdr>
      <w:divsChild>
        <w:div w:id="903300076">
          <w:marLeft w:val="0"/>
          <w:marRight w:val="0"/>
          <w:marTop w:val="0"/>
          <w:marBottom w:val="0"/>
          <w:divBdr>
            <w:top w:val="none" w:sz="0" w:space="0" w:color="auto"/>
            <w:left w:val="none" w:sz="0" w:space="0" w:color="auto"/>
            <w:bottom w:val="none" w:sz="0" w:space="0" w:color="auto"/>
            <w:right w:val="none" w:sz="0" w:space="0" w:color="auto"/>
          </w:divBdr>
          <w:divsChild>
            <w:div w:id="1274366088">
              <w:marLeft w:val="0"/>
              <w:marRight w:val="0"/>
              <w:marTop w:val="0"/>
              <w:marBottom w:val="0"/>
              <w:divBdr>
                <w:top w:val="none" w:sz="0" w:space="0" w:color="auto"/>
                <w:left w:val="none" w:sz="0" w:space="0" w:color="auto"/>
                <w:bottom w:val="none" w:sz="0" w:space="0" w:color="auto"/>
                <w:right w:val="none" w:sz="0" w:space="0" w:color="auto"/>
              </w:divBdr>
              <w:divsChild>
                <w:div w:id="221868252">
                  <w:marLeft w:val="0"/>
                  <w:marRight w:val="0"/>
                  <w:marTop w:val="0"/>
                  <w:marBottom w:val="0"/>
                  <w:divBdr>
                    <w:top w:val="none" w:sz="0" w:space="0" w:color="auto"/>
                    <w:left w:val="none" w:sz="0" w:space="0" w:color="auto"/>
                    <w:bottom w:val="none" w:sz="0" w:space="0" w:color="auto"/>
                    <w:right w:val="none" w:sz="0" w:space="0" w:color="auto"/>
                  </w:divBdr>
                  <w:divsChild>
                    <w:div w:id="693118378">
                      <w:marLeft w:val="0"/>
                      <w:marRight w:val="0"/>
                      <w:marTop w:val="0"/>
                      <w:marBottom w:val="600"/>
                      <w:divBdr>
                        <w:top w:val="none" w:sz="0" w:space="0" w:color="auto"/>
                        <w:left w:val="none" w:sz="0" w:space="0" w:color="auto"/>
                        <w:bottom w:val="none" w:sz="0" w:space="0" w:color="auto"/>
                        <w:right w:val="none" w:sz="0" w:space="0" w:color="auto"/>
                      </w:divBdr>
                      <w:divsChild>
                        <w:div w:id="1641112577">
                          <w:marLeft w:val="0"/>
                          <w:marRight w:val="0"/>
                          <w:marTop w:val="0"/>
                          <w:marBottom w:val="0"/>
                          <w:divBdr>
                            <w:top w:val="none" w:sz="0" w:space="0" w:color="auto"/>
                            <w:left w:val="none" w:sz="0" w:space="0" w:color="auto"/>
                            <w:bottom w:val="none" w:sz="0" w:space="0" w:color="auto"/>
                            <w:right w:val="none" w:sz="0" w:space="0" w:color="auto"/>
                          </w:divBdr>
                          <w:divsChild>
                            <w:div w:id="1814592860">
                              <w:marLeft w:val="0"/>
                              <w:marRight w:val="0"/>
                              <w:marTop w:val="0"/>
                              <w:marBottom w:val="0"/>
                              <w:divBdr>
                                <w:top w:val="none" w:sz="0" w:space="0" w:color="auto"/>
                                <w:left w:val="none" w:sz="0" w:space="0" w:color="auto"/>
                                <w:bottom w:val="none" w:sz="0" w:space="0" w:color="auto"/>
                                <w:right w:val="none" w:sz="0" w:space="0" w:color="auto"/>
                              </w:divBdr>
                              <w:divsChild>
                                <w:div w:id="1884171733">
                                  <w:blockQuote w:val="1"/>
                                  <w:marLeft w:val="0"/>
                                  <w:marRight w:val="0"/>
                                  <w:marTop w:val="0"/>
                                  <w:marBottom w:val="450"/>
                                  <w:divBdr>
                                    <w:top w:val="none" w:sz="0" w:space="0" w:color="auto"/>
                                    <w:left w:val="none" w:sz="0" w:space="0" w:color="auto"/>
                                    <w:bottom w:val="single" w:sz="12" w:space="15" w:color="FFFFFF"/>
                                    <w:right w:val="none" w:sz="0" w:space="0" w:color="auto"/>
                                  </w:divBdr>
                                </w:div>
                              </w:divsChild>
                            </w:div>
                          </w:divsChild>
                        </w:div>
                      </w:divsChild>
                    </w:div>
                  </w:divsChild>
                </w:div>
              </w:divsChild>
            </w:div>
          </w:divsChild>
        </w:div>
      </w:divsChild>
    </w:div>
    <w:div w:id="1607499348">
      <w:bodyDiv w:val="1"/>
      <w:marLeft w:val="0"/>
      <w:marRight w:val="0"/>
      <w:marTop w:val="0"/>
      <w:marBottom w:val="0"/>
      <w:divBdr>
        <w:top w:val="none" w:sz="0" w:space="0" w:color="auto"/>
        <w:left w:val="none" w:sz="0" w:space="0" w:color="auto"/>
        <w:bottom w:val="none" w:sz="0" w:space="0" w:color="auto"/>
        <w:right w:val="none" w:sz="0" w:space="0" w:color="auto"/>
      </w:divBdr>
      <w:divsChild>
        <w:div w:id="632714257">
          <w:marLeft w:val="0"/>
          <w:marRight w:val="0"/>
          <w:marTop w:val="0"/>
          <w:marBottom w:val="0"/>
          <w:divBdr>
            <w:top w:val="none" w:sz="0" w:space="0" w:color="auto"/>
            <w:left w:val="none" w:sz="0" w:space="0" w:color="auto"/>
            <w:bottom w:val="none" w:sz="0" w:space="0" w:color="auto"/>
            <w:right w:val="none" w:sz="0" w:space="0" w:color="auto"/>
          </w:divBdr>
          <w:divsChild>
            <w:div w:id="1465583030">
              <w:marLeft w:val="0"/>
              <w:marRight w:val="0"/>
              <w:marTop w:val="0"/>
              <w:marBottom w:val="0"/>
              <w:divBdr>
                <w:top w:val="none" w:sz="0" w:space="0" w:color="auto"/>
                <w:left w:val="none" w:sz="0" w:space="0" w:color="auto"/>
                <w:bottom w:val="none" w:sz="0" w:space="0" w:color="auto"/>
                <w:right w:val="none" w:sz="0" w:space="0" w:color="auto"/>
              </w:divBdr>
              <w:divsChild>
                <w:div w:id="1455707628">
                  <w:marLeft w:val="0"/>
                  <w:marRight w:val="0"/>
                  <w:marTop w:val="0"/>
                  <w:marBottom w:val="0"/>
                  <w:divBdr>
                    <w:top w:val="none" w:sz="0" w:space="0" w:color="auto"/>
                    <w:left w:val="none" w:sz="0" w:space="0" w:color="auto"/>
                    <w:bottom w:val="none" w:sz="0" w:space="0" w:color="auto"/>
                    <w:right w:val="none" w:sz="0" w:space="0" w:color="auto"/>
                  </w:divBdr>
                  <w:divsChild>
                    <w:div w:id="781729909">
                      <w:marLeft w:val="0"/>
                      <w:marRight w:val="0"/>
                      <w:marTop w:val="0"/>
                      <w:marBottom w:val="600"/>
                      <w:divBdr>
                        <w:top w:val="none" w:sz="0" w:space="0" w:color="auto"/>
                        <w:left w:val="none" w:sz="0" w:space="0" w:color="auto"/>
                        <w:bottom w:val="none" w:sz="0" w:space="0" w:color="auto"/>
                        <w:right w:val="none" w:sz="0" w:space="0" w:color="auto"/>
                      </w:divBdr>
                      <w:divsChild>
                        <w:div w:id="1803621722">
                          <w:marLeft w:val="0"/>
                          <w:marRight w:val="0"/>
                          <w:marTop w:val="0"/>
                          <w:marBottom w:val="0"/>
                          <w:divBdr>
                            <w:top w:val="none" w:sz="0" w:space="0" w:color="auto"/>
                            <w:left w:val="none" w:sz="0" w:space="0" w:color="auto"/>
                            <w:bottom w:val="none" w:sz="0" w:space="0" w:color="auto"/>
                            <w:right w:val="none" w:sz="0" w:space="0" w:color="auto"/>
                          </w:divBdr>
                          <w:divsChild>
                            <w:div w:id="13773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576263">
      <w:bodyDiv w:val="1"/>
      <w:marLeft w:val="0"/>
      <w:marRight w:val="0"/>
      <w:marTop w:val="0"/>
      <w:marBottom w:val="0"/>
      <w:divBdr>
        <w:top w:val="none" w:sz="0" w:space="0" w:color="auto"/>
        <w:left w:val="none" w:sz="0" w:space="0" w:color="auto"/>
        <w:bottom w:val="none" w:sz="0" w:space="0" w:color="auto"/>
        <w:right w:val="none" w:sz="0" w:space="0" w:color="auto"/>
      </w:divBdr>
    </w:div>
    <w:div w:id="1637564142">
      <w:bodyDiv w:val="1"/>
      <w:marLeft w:val="0"/>
      <w:marRight w:val="0"/>
      <w:marTop w:val="0"/>
      <w:marBottom w:val="0"/>
      <w:divBdr>
        <w:top w:val="none" w:sz="0" w:space="0" w:color="auto"/>
        <w:left w:val="none" w:sz="0" w:space="0" w:color="auto"/>
        <w:bottom w:val="none" w:sz="0" w:space="0" w:color="auto"/>
        <w:right w:val="none" w:sz="0" w:space="0" w:color="auto"/>
      </w:divBdr>
    </w:div>
    <w:div w:id="1649165125">
      <w:bodyDiv w:val="1"/>
      <w:marLeft w:val="0"/>
      <w:marRight w:val="0"/>
      <w:marTop w:val="0"/>
      <w:marBottom w:val="0"/>
      <w:divBdr>
        <w:top w:val="none" w:sz="0" w:space="0" w:color="auto"/>
        <w:left w:val="none" w:sz="0" w:space="0" w:color="auto"/>
        <w:bottom w:val="none" w:sz="0" w:space="0" w:color="auto"/>
        <w:right w:val="none" w:sz="0" w:space="0" w:color="auto"/>
      </w:divBdr>
    </w:div>
    <w:div w:id="1657370293">
      <w:bodyDiv w:val="1"/>
      <w:marLeft w:val="0"/>
      <w:marRight w:val="0"/>
      <w:marTop w:val="0"/>
      <w:marBottom w:val="0"/>
      <w:divBdr>
        <w:top w:val="none" w:sz="0" w:space="0" w:color="auto"/>
        <w:left w:val="none" w:sz="0" w:space="0" w:color="auto"/>
        <w:bottom w:val="none" w:sz="0" w:space="0" w:color="auto"/>
        <w:right w:val="none" w:sz="0" w:space="0" w:color="auto"/>
      </w:divBdr>
    </w:div>
    <w:div w:id="1667130629">
      <w:bodyDiv w:val="1"/>
      <w:marLeft w:val="0"/>
      <w:marRight w:val="0"/>
      <w:marTop w:val="0"/>
      <w:marBottom w:val="0"/>
      <w:divBdr>
        <w:top w:val="none" w:sz="0" w:space="0" w:color="auto"/>
        <w:left w:val="none" w:sz="0" w:space="0" w:color="auto"/>
        <w:bottom w:val="none" w:sz="0" w:space="0" w:color="auto"/>
        <w:right w:val="none" w:sz="0" w:space="0" w:color="auto"/>
      </w:divBdr>
    </w:div>
    <w:div w:id="1670979437">
      <w:bodyDiv w:val="1"/>
      <w:marLeft w:val="0"/>
      <w:marRight w:val="0"/>
      <w:marTop w:val="0"/>
      <w:marBottom w:val="0"/>
      <w:divBdr>
        <w:top w:val="none" w:sz="0" w:space="0" w:color="auto"/>
        <w:left w:val="none" w:sz="0" w:space="0" w:color="auto"/>
        <w:bottom w:val="none" w:sz="0" w:space="0" w:color="auto"/>
        <w:right w:val="none" w:sz="0" w:space="0" w:color="auto"/>
      </w:divBdr>
    </w:div>
    <w:div w:id="1675645027">
      <w:bodyDiv w:val="1"/>
      <w:marLeft w:val="0"/>
      <w:marRight w:val="0"/>
      <w:marTop w:val="0"/>
      <w:marBottom w:val="0"/>
      <w:divBdr>
        <w:top w:val="none" w:sz="0" w:space="0" w:color="auto"/>
        <w:left w:val="none" w:sz="0" w:space="0" w:color="auto"/>
        <w:bottom w:val="none" w:sz="0" w:space="0" w:color="auto"/>
        <w:right w:val="none" w:sz="0" w:space="0" w:color="auto"/>
      </w:divBdr>
    </w:div>
    <w:div w:id="1689865909">
      <w:bodyDiv w:val="1"/>
      <w:marLeft w:val="0"/>
      <w:marRight w:val="0"/>
      <w:marTop w:val="0"/>
      <w:marBottom w:val="0"/>
      <w:divBdr>
        <w:top w:val="none" w:sz="0" w:space="0" w:color="auto"/>
        <w:left w:val="none" w:sz="0" w:space="0" w:color="auto"/>
        <w:bottom w:val="none" w:sz="0" w:space="0" w:color="auto"/>
        <w:right w:val="none" w:sz="0" w:space="0" w:color="auto"/>
      </w:divBdr>
    </w:div>
    <w:div w:id="1708526967">
      <w:bodyDiv w:val="1"/>
      <w:marLeft w:val="0"/>
      <w:marRight w:val="0"/>
      <w:marTop w:val="0"/>
      <w:marBottom w:val="0"/>
      <w:divBdr>
        <w:top w:val="none" w:sz="0" w:space="0" w:color="auto"/>
        <w:left w:val="none" w:sz="0" w:space="0" w:color="auto"/>
        <w:bottom w:val="none" w:sz="0" w:space="0" w:color="auto"/>
        <w:right w:val="none" w:sz="0" w:space="0" w:color="auto"/>
      </w:divBdr>
    </w:div>
    <w:div w:id="1752004375">
      <w:bodyDiv w:val="1"/>
      <w:marLeft w:val="0"/>
      <w:marRight w:val="0"/>
      <w:marTop w:val="0"/>
      <w:marBottom w:val="0"/>
      <w:divBdr>
        <w:top w:val="none" w:sz="0" w:space="0" w:color="auto"/>
        <w:left w:val="none" w:sz="0" w:space="0" w:color="auto"/>
        <w:bottom w:val="none" w:sz="0" w:space="0" w:color="auto"/>
        <w:right w:val="none" w:sz="0" w:space="0" w:color="auto"/>
      </w:divBdr>
    </w:div>
    <w:div w:id="1768652736">
      <w:bodyDiv w:val="1"/>
      <w:marLeft w:val="0"/>
      <w:marRight w:val="0"/>
      <w:marTop w:val="0"/>
      <w:marBottom w:val="0"/>
      <w:divBdr>
        <w:top w:val="none" w:sz="0" w:space="0" w:color="auto"/>
        <w:left w:val="none" w:sz="0" w:space="0" w:color="auto"/>
        <w:bottom w:val="none" w:sz="0" w:space="0" w:color="auto"/>
        <w:right w:val="none" w:sz="0" w:space="0" w:color="auto"/>
      </w:divBdr>
    </w:div>
    <w:div w:id="1782723529">
      <w:bodyDiv w:val="1"/>
      <w:marLeft w:val="0"/>
      <w:marRight w:val="0"/>
      <w:marTop w:val="0"/>
      <w:marBottom w:val="0"/>
      <w:divBdr>
        <w:top w:val="none" w:sz="0" w:space="0" w:color="auto"/>
        <w:left w:val="none" w:sz="0" w:space="0" w:color="auto"/>
        <w:bottom w:val="none" w:sz="0" w:space="0" w:color="auto"/>
        <w:right w:val="none" w:sz="0" w:space="0" w:color="auto"/>
      </w:divBdr>
    </w:div>
    <w:div w:id="1832867325">
      <w:bodyDiv w:val="1"/>
      <w:marLeft w:val="0"/>
      <w:marRight w:val="0"/>
      <w:marTop w:val="0"/>
      <w:marBottom w:val="0"/>
      <w:divBdr>
        <w:top w:val="none" w:sz="0" w:space="0" w:color="auto"/>
        <w:left w:val="none" w:sz="0" w:space="0" w:color="auto"/>
        <w:bottom w:val="none" w:sz="0" w:space="0" w:color="auto"/>
        <w:right w:val="none" w:sz="0" w:space="0" w:color="auto"/>
      </w:divBdr>
    </w:div>
    <w:div w:id="1834838267">
      <w:bodyDiv w:val="1"/>
      <w:marLeft w:val="0"/>
      <w:marRight w:val="0"/>
      <w:marTop w:val="0"/>
      <w:marBottom w:val="0"/>
      <w:divBdr>
        <w:top w:val="none" w:sz="0" w:space="0" w:color="auto"/>
        <w:left w:val="none" w:sz="0" w:space="0" w:color="auto"/>
        <w:bottom w:val="none" w:sz="0" w:space="0" w:color="auto"/>
        <w:right w:val="none" w:sz="0" w:space="0" w:color="auto"/>
      </w:divBdr>
    </w:div>
    <w:div w:id="1842156581">
      <w:bodyDiv w:val="1"/>
      <w:marLeft w:val="0"/>
      <w:marRight w:val="0"/>
      <w:marTop w:val="0"/>
      <w:marBottom w:val="0"/>
      <w:divBdr>
        <w:top w:val="none" w:sz="0" w:space="0" w:color="auto"/>
        <w:left w:val="none" w:sz="0" w:space="0" w:color="auto"/>
        <w:bottom w:val="none" w:sz="0" w:space="0" w:color="auto"/>
        <w:right w:val="none" w:sz="0" w:space="0" w:color="auto"/>
      </w:divBdr>
    </w:div>
    <w:div w:id="1852336249">
      <w:bodyDiv w:val="1"/>
      <w:marLeft w:val="0"/>
      <w:marRight w:val="0"/>
      <w:marTop w:val="0"/>
      <w:marBottom w:val="0"/>
      <w:divBdr>
        <w:top w:val="none" w:sz="0" w:space="0" w:color="auto"/>
        <w:left w:val="none" w:sz="0" w:space="0" w:color="auto"/>
        <w:bottom w:val="none" w:sz="0" w:space="0" w:color="auto"/>
        <w:right w:val="none" w:sz="0" w:space="0" w:color="auto"/>
      </w:divBdr>
    </w:div>
    <w:div w:id="1858541260">
      <w:bodyDiv w:val="1"/>
      <w:marLeft w:val="0"/>
      <w:marRight w:val="0"/>
      <w:marTop w:val="0"/>
      <w:marBottom w:val="0"/>
      <w:divBdr>
        <w:top w:val="none" w:sz="0" w:space="0" w:color="auto"/>
        <w:left w:val="none" w:sz="0" w:space="0" w:color="auto"/>
        <w:bottom w:val="none" w:sz="0" w:space="0" w:color="auto"/>
        <w:right w:val="none" w:sz="0" w:space="0" w:color="auto"/>
      </w:divBdr>
    </w:div>
    <w:div w:id="1863975898">
      <w:bodyDiv w:val="1"/>
      <w:marLeft w:val="0"/>
      <w:marRight w:val="0"/>
      <w:marTop w:val="0"/>
      <w:marBottom w:val="0"/>
      <w:divBdr>
        <w:top w:val="none" w:sz="0" w:space="0" w:color="auto"/>
        <w:left w:val="none" w:sz="0" w:space="0" w:color="auto"/>
        <w:bottom w:val="none" w:sz="0" w:space="0" w:color="auto"/>
        <w:right w:val="none" w:sz="0" w:space="0" w:color="auto"/>
      </w:divBdr>
    </w:div>
    <w:div w:id="1867013110">
      <w:bodyDiv w:val="1"/>
      <w:marLeft w:val="0"/>
      <w:marRight w:val="0"/>
      <w:marTop w:val="0"/>
      <w:marBottom w:val="0"/>
      <w:divBdr>
        <w:top w:val="none" w:sz="0" w:space="0" w:color="auto"/>
        <w:left w:val="none" w:sz="0" w:space="0" w:color="auto"/>
        <w:bottom w:val="none" w:sz="0" w:space="0" w:color="auto"/>
        <w:right w:val="none" w:sz="0" w:space="0" w:color="auto"/>
      </w:divBdr>
    </w:div>
    <w:div w:id="1871140716">
      <w:bodyDiv w:val="1"/>
      <w:marLeft w:val="0"/>
      <w:marRight w:val="0"/>
      <w:marTop w:val="0"/>
      <w:marBottom w:val="0"/>
      <w:divBdr>
        <w:top w:val="none" w:sz="0" w:space="0" w:color="auto"/>
        <w:left w:val="none" w:sz="0" w:space="0" w:color="auto"/>
        <w:bottom w:val="none" w:sz="0" w:space="0" w:color="auto"/>
        <w:right w:val="none" w:sz="0" w:space="0" w:color="auto"/>
      </w:divBdr>
      <w:divsChild>
        <w:div w:id="514926110">
          <w:marLeft w:val="475"/>
          <w:marRight w:val="0"/>
          <w:marTop w:val="115"/>
          <w:marBottom w:val="0"/>
          <w:divBdr>
            <w:top w:val="none" w:sz="0" w:space="0" w:color="auto"/>
            <w:left w:val="none" w:sz="0" w:space="0" w:color="auto"/>
            <w:bottom w:val="none" w:sz="0" w:space="0" w:color="auto"/>
            <w:right w:val="none" w:sz="0" w:space="0" w:color="auto"/>
          </w:divBdr>
        </w:div>
        <w:div w:id="578714962">
          <w:marLeft w:val="475"/>
          <w:marRight w:val="0"/>
          <w:marTop w:val="115"/>
          <w:marBottom w:val="0"/>
          <w:divBdr>
            <w:top w:val="none" w:sz="0" w:space="0" w:color="auto"/>
            <w:left w:val="none" w:sz="0" w:space="0" w:color="auto"/>
            <w:bottom w:val="none" w:sz="0" w:space="0" w:color="auto"/>
            <w:right w:val="none" w:sz="0" w:space="0" w:color="auto"/>
          </w:divBdr>
        </w:div>
        <w:div w:id="1507748665">
          <w:marLeft w:val="475"/>
          <w:marRight w:val="0"/>
          <w:marTop w:val="115"/>
          <w:marBottom w:val="0"/>
          <w:divBdr>
            <w:top w:val="none" w:sz="0" w:space="0" w:color="auto"/>
            <w:left w:val="none" w:sz="0" w:space="0" w:color="auto"/>
            <w:bottom w:val="none" w:sz="0" w:space="0" w:color="auto"/>
            <w:right w:val="none" w:sz="0" w:space="0" w:color="auto"/>
          </w:divBdr>
        </w:div>
        <w:div w:id="2046052698">
          <w:marLeft w:val="475"/>
          <w:marRight w:val="0"/>
          <w:marTop w:val="115"/>
          <w:marBottom w:val="0"/>
          <w:divBdr>
            <w:top w:val="none" w:sz="0" w:space="0" w:color="auto"/>
            <w:left w:val="none" w:sz="0" w:space="0" w:color="auto"/>
            <w:bottom w:val="none" w:sz="0" w:space="0" w:color="auto"/>
            <w:right w:val="none" w:sz="0" w:space="0" w:color="auto"/>
          </w:divBdr>
        </w:div>
      </w:divsChild>
    </w:div>
    <w:div w:id="1871650680">
      <w:bodyDiv w:val="1"/>
      <w:marLeft w:val="0"/>
      <w:marRight w:val="0"/>
      <w:marTop w:val="0"/>
      <w:marBottom w:val="0"/>
      <w:divBdr>
        <w:top w:val="none" w:sz="0" w:space="0" w:color="auto"/>
        <w:left w:val="none" w:sz="0" w:space="0" w:color="auto"/>
        <w:bottom w:val="none" w:sz="0" w:space="0" w:color="auto"/>
        <w:right w:val="none" w:sz="0" w:space="0" w:color="auto"/>
      </w:divBdr>
    </w:div>
    <w:div w:id="1872761400">
      <w:bodyDiv w:val="1"/>
      <w:marLeft w:val="0"/>
      <w:marRight w:val="0"/>
      <w:marTop w:val="0"/>
      <w:marBottom w:val="0"/>
      <w:divBdr>
        <w:top w:val="none" w:sz="0" w:space="0" w:color="auto"/>
        <w:left w:val="none" w:sz="0" w:space="0" w:color="auto"/>
        <w:bottom w:val="none" w:sz="0" w:space="0" w:color="auto"/>
        <w:right w:val="none" w:sz="0" w:space="0" w:color="auto"/>
      </w:divBdr>
    </w:div>
    <w:div w:id="1897617558">
      <w:bodyDiv w:val="1"/>
      <w:marLeft w:val="0"/>
      <w:marRight w:val="0"/>
      <w:marTop w:val="0"/>
      <w:marBottom w:val="0"/>
      <w:divBdr>
        <w:top w:val="none" w:sz="0" w:space="0" w:color="auto"/>
        <w:left w:val="none" w:sz="0" w:space="0" w:color="auto"/>
        <w:bottom w:val="none" w:sz="0" w:space="0" w:color="auto"/>
        <w:right w:val="none" w:sz="0" w:space="0" w:color="auto"/>
      </w:divBdr>
    </w:div>
    <w:div w:id="1915430212">
      <w:bodyDiv w:val="1"/>
      <w:marLeft w:val="0"/>
      <w:marRight w:val="0"/>
      <w:marTop w:val="0"/>
      <w:marBottom w:val="0"/>
      <w:divBdr>
        <w:top w:val="none" w:sz="0" w:space="0" w:color="auto"/>
        <w:left w:val="none" w:sz="0" w:space="0" w:color="auto"/>
        <w:bottom w:val="none" w:sz="0" w:space="0" w:color="auto"/>
        <w:right w:val="none" w:sz="0" w:space="0" w:color="auto"/>
      </w:divBdr>
      <w:divsChild>
        <w:div w:id="505904307">
          <w:marLeft w:val="446"/>
          <w:marRight w:val="0"/>
          <w:marTop w:val="0"/>
          <w:marBottom w:val="0"/>
          <w:divBdr>
            <w:top w:val="none" w:sz="0" w:space="0" w:color="auto"/>
            <w:left w:val="none" w:sz="0" w:space="0" w:color="auto"/>
            <w:bottom w:val="none" w:sz="0" w:space="0" w:color="auto"/>
            <w:right w:val="none" w:sz="0" w:space="0" w:color="auto"/>
          </w:divBdr>
        </w:div>
        <w:div w:id="1875540616">
          <w:marLeft w:val="446"/>
          <w:marRight w:val="0"/>
          <w:marTop w:val="0"/>
          <w:marBottom w:val="0"/>
          <w:divBdr>
            <w:top w:val="none" w:sz="0" w:space="0" w:color="auto"/>
            <w:left w:val="none" w:sz="0" w:space="0" w:color="auto"/>
            <w:bottom w:val="none" w:sz="0" w:space="0" w:color="auto"/>
            <w:right w:val="none" w:sz="0" w:space="0" w:color="auto"/>
          </w:divBdr>
        </w:div>
        <w:div w:id="57216562">
          <w:marLeft w:val="446"/>
          <w:marRight w:val="0"/>
          <w:marTop w:val="0"/>
          <w:marBottom w:val="0"/>
          <w:divBdr>
            <w:top w:val="none" w:sz="0" w:space="0" w:color="auto"/>
            <w:left w:val="none" w:sz="0" w:space="0" w:color="auto"/>
            <w:bottom w:val="none" w:sz="0" w:space="0" w:color="auto"/>
            <w:right w:val="none" w:sz="0" w:space="0" w:color="auto"/>
          </w:divBdr>
        </w:div>
        <w:div w:id="362440727">
          <w:marLeft w:val="446"/>
          <w:marRight w:val="0"/>
          <w:marTop w:val="0"/>
          <w:marBottom w:val="0"/>
          <w:divBdr>
            <w:top w:val="none" w:sz="0" w:space="0" w:color="auto"/>
            <w:left w:val="none" w:sz="0" w:space="0" w:color="auto"/>
            <w:bottom w:val="none" w:sz="0" w:space="0" w:color="auto"/>
            <w:right w:val="none" w:sz="0" w:space="0" w:color="auto"/>
          </w:divBdr>
        </w:div>
        <w:div w:id="1064066995">
          <w:marLeft w:val="446"/>
          <w:marRight w:val="0"/>
          <w:marTop w:val="0"/>
          <w:marBottom w:val="0"/>
          <w:divBdr>
            <w:top w:val="none" w:sz="0" w:space="0" w:color="auto"/>
            <w:left w:val="none" w:sz="0" w:space="0" w:color="auto"/>
            <w:bottom w:val="none" w:sz="0" w:space="0" w:color="auto"/>
            <w:right w:val="none" w:sz="0" w:space="0" w:color="auto"/>
          </w:divBdr>
        </w:div>
        <w:div w:id="199632729">
          <w:marLeft w:val="446"/>
          <w:marRight w:val="0"/>
          <w:marTop w:val="0"/>
          <w:marBottom w:val="0"/>
          <w:divBdr>
            <w:top w:val="none" w:sz="0" w:space="0" w:color="auto"/>
            <w:left w:val="none" w:sz="0" w:space="0" w:color="auto"/>
            <w:bottom w:val="none" w:sz="0" w:space="0" w:color="auto"/>
            <w:right w:val="none" w:sz="0" w:space="0" w:color="auto"/>
          </w:divBdr>
        </w:div>
        <w:div w:id="855801469">
          <w:marLeft w:val="446"/>
          <w:marRight w:val="0"/>
          <w:marTop w:val="0"/>
          <w:marBottom w:val="0"/>
          <w:divBdr>
            <w:top w:val="none" w:sz="0" w:space="0" w:color="auto"/>
            <w:left w:val="none" w:sz="0" w:space="0" w:color="auto"/>
            <w:bottom w:val="none" w:sz="0" w:space="0" w:color="auto"/>
            <w:right w:val="none" w:sz="0" w:space="0" w:color="auto"/>
          </w:divBdr>
        </w:div>
        <w:div w:id="1951625774">
          <w:marLeft w:val="446"/>
          <w:marRight w:val="0"/>
          <w:marTop w:val="0"/>
          <w:marBottom w:val="0"/>
          <w:divBdr>
            <w:top w:val="none" w:sz="0" w:space="0" w:color="auto"/>
            <w:left w:val="none" w:sz="0" w:space="0" w:color="auto"/>
            <w:bottom w:val="none" w:sz="0" w:space="0" w:color="auto"/>
            <w:right w:val="none" w:sz="0" w:space="0" w:color="auto"/>
          </w:divBdr>
        </w:div>
        <w:div w:id="2128238114">
          <w:marLeft w:val="446"/>
          <w:marRight w:val="0"/>
          <w:marTop w:val="0"/>
          <w:marBottom w:val="0"/>
          <w:divBdr>
            <w:top w:val="none" w:sz="0" w:space="0" w:color="auto"/>
            <w:left w:val="none" w:sz="0" w:space="0" w:color="auto"/>
            <w:bottom w:val="none" w:sz="0" w:space="0" w:color="auto"/>
            <w:right w:val="none" w:sz="0" w:space="0" w:color="auto"/>
          </w:divBdr>
        </w:div>
      </w:divsChild>
    </w:div>
    <w:div w:id="1936089819">
      <w:bodyDiv w:val="1"/>
      <w:marLeft w:val="0"/>
      <w:marRight w:val="0"/>
      <w:marTop w:val="0"/>
      <w:marBottom w:val="0"/>
      <w:divBdr>
        <w:top w:val="none" w:sz="0" w:space="0" w:color="auto"/>
        <w:left w:val="none" w:sz="0" w:space="0" w:color="auto"/>
        <w:bottom w:val="none" w:sz="0" w:space="0" w:color="auto"/>
        <w:right w:val="none" w:sz="0" w:space="0" w:color="auto"/>
      </w:divBdr>
    </w:div>
    <w:div w:id="1963807478">
      <w:bodyDiv w:val="1"/>
      <w:marLeft w:val="0"/>
      <w:marRight w:val="0"/>
      <w:marTop w:val="0"/>
      <w:marBottom w:val="0"/>
      <w:divBdr>
        <w:top w:val="none" w:sz="0" w:space="0" w:color="auto"/>
        <w:left w:val="none" w:sz="0" w:space="0" w:color="auto"/>
        <w:bottom w:val="none" w:sz="0" w:space="0" w:color="auto"/>
        <w:right w:val="none" w:sz="0" w:space="0" w:color="auto"/>
      </w:divBdr>
    </w:div>
    <w:div w:id="2014987672">
      <w:bodyDiv w:val="1"/>
      <w:marLeft w:val="0"/>
      <w:marRight w:val="0"/>
      <w:marTop w:val="0"/>
      <w:marBottom w:val="0"/>
      <w:divBdr>
        <w:top w:val="none" w:sz="0" w:space="0" w:color="auto"/>
        <w:left w:val="none" w:sz="0" w:space="0" w:color="auto"/>
        <w:bottom w:val="none" w:sz="0" w:space="0" w:color="auto"/>
        <w:right w:val="none" w:sz="0" w:space="0" w:color="auto"/>
      </w:divBdr>
    </w:div>
    <w:div w:id="2017464365">
      <w:bodyDiv w:val="1"/>
      <w:marLeft w:val="0"/>
      <w:marRight w:val="0"/>
      <w:marTop w:val="0"/>
      <w:marBottom w:val="0"/>
      <w:divBdr>
        <w:top w:val="none" w:sz="0" w:space="0" w:color="auto"/>
        <w:left w:val="none" w:sz="0" w:space="0" w:color="auto"/>
        <w:bottom w:val="none" w:sz="0" w:space="0" w:color="auto"/>
        <w:right w:val="none" w:sz="0" w:space="0" w:color="auto"/>
      </w:divBdr>
    </w:div>
    <w:div w:id="2059165205">
      <w:bodyDiv w:val="1"/>
      <w:marLeft w:val="0"/>
      <w:marRight w:val="0"/>
      <w:marTop w:val="0"/>
      <w:marBottom w:val="0"/>
      <w:divBdr>
        <w:top w:val="none" w:sz="0" w:space="0" w:color="auto"/>
        <w:left w:val="none" w:sz="0" w:space="0" w:color="auto"/>
        <w:bottom w:val="none" w:sz="0" w:space="0" w:color="auto"/>
        <w:right w:val="none" w:sz="0" w:space="0" w:color="auto"/>
      </w:divBdr>
      <w:divsChild>
        <w:div w:id="1487866023">
          <w:marLeft w:val="0"/>
          <w:marRight w:val="0"/>
          <w:marTop w:val="0"/>
          <w:marBottom w:val="0"/>
          <w:divBdr>
            <w:top w:val="none" w:sz="0" w:space="0" w:color="auto"/>
            <w:left w:val="none" w:sz="0" w:space="0" w:color="auto"/>
            <w:bottom w:val="none" w:sz="0" w:space="0" w:color="auto"/>
            <w:right w:val="none" w:sz="0" w:space="0" w:color="auto"/>
          </w:divBdr>
          <w:divsChild>
            <w:div w:id="1218010965">
              <w:marLeft w:val="0"/>
              <w:marRight w:val="0"/>
              <w:marTop w:val="0"/>
              <w:marBottom w:val="0"/>
              <w:divBdr>
                <w:top w:val="none" w:sz="0" w:space="0" w:color="auto"/>
                <w:left w:val="none" w:sz="0" w:space="0" w:color="auto"/>
                <w:bottom w:val="none" w:sz="0" w:space="0" w:color="auto"/>
                <w:right w:val="none" w:sz="0" w:space="0" w:color="auto"/>
              </w:divBdr>
              <w:divsChild>
                <w:div w:id="764228433">
                  <w:marLeft w:val="0"/>
                  <w:marRight w:val="0"/>
                  <w:marTop w:val="0"/>
                  <w:marBottom w:val="0"/>
                  <w:divBdr>
                    <w:top w:val="none" w:sz="0" w:space="0" w:color="auto"/>
                    <w:left w:val="none" w:sz="0" w:space="0" w:color="auto"/>
                    <w:bottom w:val="none" w:sz="0" w:space="0" w:color="auto"/>
                    <w:right w:val="none" w:sz="0" w:space="0" w:color="auto"/>
                  </w:divBdr>
                  <w:divsChild>
                    <w:div w:id="957220061">
                      <w:marLeft w:val="0"/>
                      <w:marRight w:val="0"/>
                      <w:marTop w:val="0"/>
                      <w:marBottom w:val="0"/>
                      <w:divBdr>
                        <w:top w:val="none" w:sz="0" w:space="0" w:color="auto"/>
                        <w:left w:val="none" w:sz="0" w:space="0" w:color="auto"/>
                        <w:bottom w:val="none" w:sz="0" w:space="0" w:color="auto"/>
                        <w:right w:val="none" w:sz="0" w:space="0" w:color="auto"/>
                      </w:divBdr>
                      <w:divsChild>
                        <w:div w:id="568459475">
                          <w:marLeft w:val="0"/>
                          <w:marRight w:val="0"/>
                          <w:marTop w:val="0"/>
                          <w:marBottom w:val="0"/>
                          <w:divBdr>
                            <w:top w:val="none" w:sz="0" w:space="0" w:color="auto"/>
                            <w:left w:val="none" w:sz="0" w:space="0" w:color="auto"/>
                            <w:bottom w:val="none" w:sz="0" w:space="0" w:color="auto"/>
                            <w:right w:val="none" w:sz="0" w:space="0" w:color="auto"/>
                          </w:divBdr>
                          <w:divsChild>
                            <w:div w:id="196453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361309">
      <w:bodyDiv w:val="1"/>
      <w:marLeft w:val="0"/>
      <w:marRight w:val="0"/>
      <w:marTop w:val="0"/>
      <w:marBottom w:val="0"/>
      <w:divBdr>
        <w:top w:val="none" w:sz="0" w:space="0" w:color="auto"/>
        <w:left w:val="none" w:sz="0" w:space="0" w:color="auto"/>
        <w:bottom w:val="none" w:sz="0" w:space="0" w:color="auto"/>
        <w:right w:val="none" w:sz="0" w:space="0" w:color="auto"/>
      </w:divBdr>
    </w:div>
    <w:div w:id="2062633777">
      <w:bodyDiv w:val="1"/>
      <w:marLeft w:val="0"/>
      <w:marRight w:val="0"/>
      <w:marTop w:val="0"/>
      <w:marBottom w:val="0"/>
      <w:divBdr>
        <w:top w:val="none" w:sz="0" w:space="0" w:color="auto"/>
        <w:left w:val="none" w:sz="0" w:space="0" w:color="auto"/>
        <w:bottom w:val="none" w:sz="0" w:space="0" w:color="auto"/>
        <w:right w:val="none" w:sz="0" w:space="0" w:color="auto"/>
      </w:divBdr>
    </w:div>
    <w:div w:id="2065909447">
      <w:bodyDiv w:val="1"/>
      <w:marLeft w:val="0"/>
      <w:marRight w:val="0"/>
      <w:marTop w:val="0"/>
      <w:marBottom w:val="0"/>
      <w:divBdr>
        <w:top w:val="none" w:sz="0" w:space="0" w:color="auto"/>
        <w:left w:val="none" w:sz="0" w:space="0" w:color="auto"/>
        <w:bottom w:val="none" w:sz="0" w:space="0" w:color="auto"/>
        <w:right w:val="none" w:sz="0" w:space="0" w:color="auto"/>
      </w:divBdr>
    </w:div>
    <w:div w:id="2088533630">
      <w:bodyDiv w:val="1"/>
      <w:marLeft w:val="0"/>
      <w:marRight w:val="0"/>
      <w:marTop w:val="0"/>
      <w:marBottom w:val="0"/>
      <w:divBdr>
        <w:top w:val="none" w:sz="0" w:space="0" w:color="auto"/>
        <w:left w:val="none" w:sz="0" w:space="0" w:color="auto"/>
        <w:bottom w:val="none" w:sz="0" w:space="0" w:color="auto"/>
        <w:right w:val="none" w:sz="0" w:space="0" w:color="auto"/>
      </w:divBdr>
      <w:divsChild>
        <w:div w:id="511846182">
          <w:marLeft w:val="0"/>
          <w:marRight w:val="0"/>
          <w:marTop w:val="0"/>
          <w:marBottom w:val="0"/>
          <w:divBdr>
            <w:top w:val="none" w:sz="0" w:space="0" w:color="auto"/>
            <w:left w:val="none" w:sz="0" w:space="0" w:color="auto"/>
            <w:bottom w:val="none" w:sz="0" w:space="0" w:color="auto"/>
            <w:right w:val="none" w:sz="0" w:space="0" w:color="auto"/>
          </w:divBdr>
          <w:divsChild>
            <w:div w:id="1847742747">
              <w:marLeft w:val="0"/>
              <w:marRight w:val="0"/>
              <w:marTop w:val="0"/>
              <w:marBottom w:val="0"/>
              <w:divBdr>
                <w:top w:val="none" w:sz="0" w:space="0" w:color="auto"/>
                <w:left w:val="none" w:sz="0" w:space="0" w:color="auto"/>
                <w:bottom w:val="none" w:sz="0" w:space="0" w:color="auto"/>
                <w:right w:val="none" w:sz="0" w:space="0" w:color="auto"/>
              </w:divBdr>
              <w:divsChild>
                <w:div w:id="1185747545">
                  <w:marLeft w:val="0"/>
                  <w:marRight w:val="0"/>
                  <w:marTop w:val="0"/>
                  <w:marBottom w:val="300"/>
                  <w:divBdr>
                    <w:top w:val="none" w:sz="0" w:space="0" w:color="auto"/>
                    <w:left w:val="none" w:sz="0" w:space="0" w:color="auto"/>
                    <w:bottom w:val="none" w:sz="0" w:space="0" w:color="auto"/>
                    <w:right w:val="none" w:sz="0" w:space="0" w:color="auto"/>
                  </w:divBdr>
                  <w:divsChild>
                    <w:div w:id="561016635">
                      <w:marLeft w:val="0"/>
                      <w:marRight w:val="0"/>
                      <w:marTop w:val="150"/>
                      <w:marBottom w:val="0"/>
                      <w:divBdr>
                        <w:top w:val="none" w:sz="0" w:space="0" w:color="auto"/>
                        <w:left w:val="none" w:sz="0" w:space="0" w:color="auto"/>
                        <w:bottom w:val="none" w:sz="0" w:space="0" w:color="auto"/>
                        <w:right w:val="none" w:sz="0" w:space="0" w:color="auto"/>
                      </w:divBdr>
                      <w:divsChild>
                        <w:div w:id="932055825">
                          <w:marLeft w:val="0"/>
                          <w:marRight w:val="0"/>
                          <w:marTop w:val="0"/>
                          <w:marBottom w:val="300"/>
                          <w:divBdr>
                            <w:top w:val="none" w:sz="0" w:space="0" w:color="auto"/>
                            <w:left w:val="none" w:sz="0" w:space="0" w:color="auto"/>
                            <w:bottom w:val="none" w:sz="0" w:space="0" w:color="auto"/>
                            <w:right w:val="none" w:sz="0" w:space="0" w:color="auto"/>
                          </w:divBdr>
                          <w:divsChild>
                            <w:div w:id="330254002">
                              <w:marLeft w:val="0"/>
                              <w:marRight w:val="0"/>
                              <w:marTop w:val="0"/>
                              <w:marBottom w:val="0"/>
                              <w:divBdr>
                                <w:top w:val="none" w:sz="0" w:space="0" w:color="auto"/>
                                <w:left w:val="none" w:sz="0" w:space="0" w:color="auto"/>
                                <w:bottom w:val="none" w:sz="0" w:space="0" w:color="auto"/>
                                <w:right w:val="none" w:sz="0" w:space="0" w:color="auto"/>
                              </w:divBdr>
                              <w:divsChild>
                                <w:div w:id="314182754">
                                  <w:marLeft w:val="0"/>
                                  <w:marRight w:val="0"/>
                                  <w:marTop w:val="0"/>
                                  <w:marBottom w:val="0"/>
                                  <w:divBdr>
                                    <w:top w:val="none" w:sz="0" w:space="0" w:color="auto"/>
                                    <w:left w:val="none" w:sz="0" w:space="0" w:color="auto"/>
                                    <w:bottom w:val="none" w:sz="0" w:space="0" w:color="auto"/>
                                    <w:right w:val="none" w:sz="0" w:space="0" w:color="auto"/>
                                  </w:divBdr>
                                </w:div>
                              </w:divsChild>
                            </w:div>
                            <w:div w:id="1840658000">
                              <w:marLeft w:val="0"/>
                              <w:marRight w:val="0"/>
                              <w:marTop w:val="0"/>
                              <w:marBottom w:val="0"/>
                              <w:divBdr>
                                <w:top w:val="none" w:sz="0" w:space="0" w:color="auto"/>
                                <w:left w:val="none" w:sz="0" w:space="0" w:color="auto"/>
                                <w:bottom w:val="none" w:sz="0" w:space="0" w:color="auto"/>
                                <w:right w:val="none" w:sz="0" w:space="0" w:color="auto"/>
                              </w:divBdr>
                            </w:div>
                            <w:div w:id="2022273889">
                              <w:marLeft w:val="0"/>
                              <w:marRight w:val="0"/>
                              <w:marTop w:val="0"/>
                              <w:marBottom w:val="0"/>
                              <w:divBdr>
                                <w:top w:val="none" w:sz="0" w:space="0" w:color="auto"/>
                                <w:left w:val="none" w:sz="0" w:space="0" w:color="auto"/>
                                <w:bottom w:val="none" w:sz="0" w:space="0" w:color="auto"/>
                                <w:right w:val="none" w:sz="0" w:space="0" w:color="auto"/>
                              </w:divBdr>
                            </w:div>
                          </w:divsChild>
                        </w:div>
                        <w:div w:id="12524716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97288875">
      <w:bodyDiv w:val="1"/>
      <w:marLeft w:val="0"/>
      <w:marRight w:val="0"/>
      <w:marTop w:val="0"/>
      <w:marBottom w:val="0"/>
      <w:divBdr>
        <w:top w:val="none" w:sz="0" w:space="0" w:color="auto"/>
        <w:left w:val="none" w:sz="0" w:space="0" w:color="auto"/>
        <w:bottom w:val="none" w:sz="0" w:space="0" w:color="auto"/>
        <w:right w:val="none" w:sz="0" w:space="0" w:color="auto"/>
      </w:divBdr>
    </w:div>
    <w:div w:id="2103992298">
      <w:bodyDiv w:val="1"/>
      <w:marLeft w:val="0"/>
      <w:marRight w:val="0"/>
      <w:marTop w:val="0"/>
      <w:marBottom w:val="0"/>
      <w:divBdr>
        <w:top w:val="none" w:sz="0" w:space="0" w:color="auto"/>
        <w:left w:val="none" w:sz="0" w:space="0" w:color="auto"/>
        <w:bottom w:val="none" w:sz="0" w:space="0" w:color="auto"/>
        <w:right w:val="none" w:sz="0" w:space="0" w:color="auto"/>
      </w:divBdr>
    </w:div>
    <w:div w:id="2119370273">
      <w:bodyDiv w:val="1"/>
      <w:marLeft w:val="0"/>
      <w:marRight w:val="0"/>
      <w:marTop w:val="0"/>
      <w:marBottom w:val="0"/>
      <w:divBdr>
        <w:top w:val="none" w:sz="0" w:space="0" w:color="auto"/>
        <w:left w:val="none" w:sz="0" w:space="0" w:color="auto"/>
        <w:bottom w:val="none" w:sz="0" w:space="0" w:color="auto"/>
        <w:right w:val="none" w:sz="0" w:space="0" w:color="auto"/>
      </w:divBdr>
    </w:div>
    <w:div w:id="2131708319">
      <w:bodyDiv w:val="1"/>
      <w:marLeft w:val="0"/>
      <w:marRight w:val="0"/>
      <w:marTop w:val="0"/>
      <w:marBottom w:val="0"/>
      <w:divBdr>
        <w:top w:val="none" w:sz="0" w:space="0" w:color="auto"/>
        <w:left w:val="none" w:sz="0" w:space="0" w:color="auto"/>
        <w:bottom w:val="none" w:sz="0" w:space="0" w:color="auto"/>
        <w:right w:val="none" w:sz="0" w:space="0" w:color="auto"/>
      </w:divBdr>
    </w:div>
    <w:div w:id="213702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071A0-4249-4798-AC16-9C75DF443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2877</Words>
  <Characters>16399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RDP</Company>
  <LinksUpToDate>false</LinksUpToDate>
  <CharactersWithSpaces>19238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Richard Mabbitt</cp:lastModifiedBy>
  <cp:revision>8</cp:revision>
  <cp:lastPrinted>2019-05-29T09:53:00Z</cp:lastPrinted>
  <dcterms:created xsi:type="dcterms:W3CDTF">2019-07-26T09:49:00Z</dcterms:created>
  <dcterms:modified xsi:type="dcterms:W3CDTF">2019-08-20T12:02:00Z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-1470931392</vt:i4>
  </property>
</Properties>
</file>