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7540478" w:displacedByCustomXml="next"/>
    <w:bookmarkStart w:id="1" w:name="_Toc94088093" w:displacedByCustomXml="next"/>
    <w:bookmarkStart w:id="2" w:name="_Toc532893246" w:displacedByCustomXml="next"/>
    <w:sdt>
      <w:sdtPr>
        <w:rPr>
          <w:rFonts w:eastAsia="Calibri" w:cs="Times New Roman"/>
          <w:b w:val="0"/>
          <w:bCs w:val="0"/>
          <w:spacing w:val="0"/>
          <w:sz w:val="28"/>
          <w:szCs w:val="22"/>
        </w:rPr>
        <w:id w:val="534087357"/>
        <w:docPartObj>
          <w:docPartGallery w:val="Cover Pages"/>
          <w:docPartUnique/>
        </w:docPartObj>
      </w:sdtPr>
      <w:sdtEndPr>
        <w:rPr>
          <w:sz w:val="24"/>
        </w:rPr>
      </w:sdtEndPr>
      <w:sdtContent>
        <w:bookmarkEnd w:id="0" w:displacedByCustomXml="prev"/>
        <w:p w:rsidR="00980CDC" w:rsidRDefault="00980CDC" w:rsidP="00980CDC">
          <w:pPr>
            <w:pStyle w:val="level1title"/>
            <w:rPr>
              <w:b w:val="0"/>
              <w:szCs w:val="24"/>
            </w:rPr>
          </w:pPr>
          <w:r w:rsidRPr="00980CDC">
            <w:t>Minutes of the 98th meeting of the Board of the EHRC</w:t>
          </w:r>
          <w:bookmarkEnd w:id="1"/>
        </w:p>
        <w:p w:rsidR="00980CDC" w:rsidRDefault="00980CDC" w:rsidP="00B218B9">
          <w:pPr>
            <w:rPr>
              <w:b/>
              <w:szCs w:val="24"/>
            </w:rPr>
          </w:pPr>
          <w:r w:rsidRPr="00980CDC">
            <w:rPr>
              <w:b/>
              <w:szCs w:val="24"/>
            </w:rPr>
            <w:t xml:space="preserve">20 October 2021 (10:00-12:30) </w:t>
          </w:r>
        </w:p>
        <w:bookmarkEnd w:id="2"/>
        <w:p w:rsidR="00DD3D0F" w:rsidRPr="00DD3D0F" w:rsidRDefault="00980CDC" w:rsidP="00B218B9">
          <w:r>
            <w:rPr>
              <w:b/>
              <w:szCs w:val="24"/>
            </w:rPr>
            <w:t>Virtual meeting via Webex</w:t>
          </w:r>
        </w:p>
      </w:sdtContent>
    </w:sdt>
    <w:bookmarkStart w:id="3" w:name="_Toc532893248" w:displacedByCustomXml="prev"/>
    <w:p w:rsidR="00B218B9" w:rsidRDefault="00B218B9">
      <w:pPr>
        <w:spacing w:after="160" w:line="259" w:lineRule="auto"/>
        <w:rPr>
          <w:rFonts w:eastAsia="Times New Roman"/>
          <w:b/>
          <w:bCs/>
          <w:sz w:val="28"/>
          <w:szCs w:val="26"/>
        </w:rPr>
      </w:pPr>
    </w:p>
    <w:sdt>
      <w:sdtPr>
        <w:rPr>
          <w:rFonts w:ascii="Arial" w:eastAsia="Calibri" w:hAnsi="Arial" w:cs="Times New Roman"/>
          <w:color w:val="auto"/>
          <w:sz w:val="24"/>
          <w:szCs w:val="22"/>
          <w:lang w:val="en-GB"/>
        </w:rPr>
        <w:id w:val="1796641957"/>
        <w:docPartObj>
          <w:docPartGallery w:val="Table of Contents"/>
          <w:docPartUnique/>
        </w:docPartObj>
      </w:sdtPr>
      <w:sdtEndPr>
        <w:rPr>
          <w:b/>
          <w:bCs/>
          <w:noProof/>
        </w:rPr>
      </w:sdtEndPr>
      <w:sdtContent>
        <w:p w:rsidR="00F95175" w:rsidRPr="00F95175" w:rsidRDefault="00F95175">
          <w:pPr>
            <w:pStyle w:val="TOCHeading"/>
            <w:rPr>
              <w:rFonts w:ascii="Arial" w:hAnsi="Arial" w:cs="Arial"/>
              <w:color w:val="auto"/>
            </w:rPr>
          </w:pPr>
          <w:r w:rsidRPr="00F95175">
            <w:rPr>
              <w:rFonts w:ascii="Arial" w:hAnsi="Arial" w:cs="Arial"/>
              <w:color w:val="auto"/>
            </w:rPr>
            <w:t>Contents</w:t>
          </w:r>
        </w:p>
        <w:p w:rsidR="00763DB9" w:rsidRDefault="00F95175">
          <w:pPr>
            <w:pStyle w:val="TOC1"/>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hyperlink w:anchor="_Toc94088093" w:history="1">
            <w:r w:rsidR="00763DB9" w:rsidRPr="00084901">
              <w:rPr>
                <w:rStyle w:val="Hyperlink"/>
                <w:noProof/>
              </w:rPr>
              <w:t>Minutes of the 98th meeting of the Board of the EHRC</w:t>
            </w:r>
            <w:r w:rsidR="00763DB9">
              <w:rPr>
                <w:noProof/>
                <w:webHidden/>
              </w:rPr>
              <w:tab/>
            </w:r>
            <w:r w:rsidR="00763DB9">
              <w:rPr>
                <w:noProof/>
                <w:webHidden/>
              </w:rPr>
              <w:fldChar w:fldCharType="begin"/>
            </w:r>
            <w:r w:rsidR="00763DB9">
              <w:rPr>
                <w:noProof/>
                <w:webHidden/>
              </w:rPr>
              <w:instrText xml:space="preserve"> PAGEREF _Toc94088093 \h </w:instrText>
            </w:r>
            <w:r w:rsidR="00763DB9">
              <w:rPr>
                <w:noProof/>
                <w:webHidden/>
              </w:rPr>
            </w:r>
            <w:r w:rsidR="00763DB9">
              <w:rPr>
                <w:noProof/>
                <w:webHidden/>
              </w:rPr>
              <w:fldChar w:fldCharType="separate"/>
            </w:r>
            <w:r w:rsidR="00763DB9">
              <w:rPr>
                <w:noProof/>
                <w:webHidden/>
              </w:rPr>
              <w:t>1</w:t>
            </w:r>
            <w:r w:rsidR="00763DB9">
              <w:rPr>
                <w:noProof/>
                <w:webHidden/>
              </w:rPr>
              <w:fldChar w:fldCharType="end"/>
            </w:r>
          </w:hyperlink>
        </w:p>
        <w:p w:rsidR="00763DB9" w:rsidRDefault="00763DB9">
          <w:pPr>
            <w:pStyle w:val="TOC2"/>
            <w:tabs>
              <w:tab w:val="right" w:leader="dot" w:pos="9016"/>
            </w:tabs>
            <w:rPr>
              <w:rFonts w:asciiTheme="minorHAnsi" w:eastAsiaTheme="minorEastAsia" w:hAnsiTheme="minorHAnsi" w:cstheme="minorBidi"/>
              <w:noProof/>
              <w:sz w:val="22"/>
              <w:lang w:eastAsia="en-GB"/>
            </w:rPr>
          </w:pPr>
          <w:hyperlink w:anchor="_Toc94088094" w:history="1">
            <w:r w:rsidRPr="00084901">
              <w:rPr>
                <w:rStyle w:val="Hyperlink"/>
                <w:noProof/>
              </w:rPr>
              <w:t>Attending</w:t>
            </w:r>
            <w:r>
              <w:rPr>
                <w:noProof/>
                <w:webHidden/>
              </w:rPr>
              <w:tab/>
            </w:r>
            <w:r>
              <w:rPr>
                <w:noProof/>
                <w:webHidden/>
              </w:rPr>
              <w:fldChar w:fldCharType="begin"/>
            </w:r>
            <w:r>
              <w:rPr>
                <w:noProof/>
                <w:webHidden/>
              </w:rPr>
              <w:instrText xml:space="preserve"> PAGEREF _Toc94088094 \h </w:instrText>
            </w:r>
            <w:r>
              <w:rPr>
                <w:noProof/>
                <w:webHidden/>
              </w:rPr>
            </w:r>
            <w:r>
              <w:rPr>
                <w:noProof/>
                <w:webHidden/>
              </w:rPr>
              <w:fldChar w:fldCharType="separate"/>
            </w:r>
            <w:r>
              <w:rPr>
                <w:noProof/>
                <w:webHidden/>
              </w:rPr>
              <w:t>3</w:t>
            </w:r>
            <w:r>
              <w:rPr>
                <w:noProof/>
                <w:webHidden/>
              </w:rPr>
              <w:fldChar w:fldCharType="end"/>
            </w:r>
          </w:hyperlink>
        </w:p>
        <w:p w:rsidR="00763DB9" w:rsidRDefault="00763DB9">
          <w:pPr>
            <w:pStyle w:val="TOC3"/>
            <w:tabs>
              <w:tab w:val="right" w:leader="dot" w:pos="9016"/>
            </w:tabs>
            <w:rPr>
              <w:rFonts w:asciiTheme="minorHAnsi" w:eastAsiaTheme="minorEastAsia" w:hAnsiTheme="minorHAnsi" w:cstheme="minorBidi"/>
              <w:noProof/>
              <w:sz w:val="22"/>
              <w:lang w:eastAsia="en-GB"/>
            </w:rPr>
          </w:pPr>
          <w:hyperlink w:anchor="_Toc94088095" w:history="1">
            <w:r w:rsidRPr="00084901">
              <w:rPr>
                <w:rStyle w:val="Hyperlink"/>
                <w:noProof/>
              </w:rPr>
              <w:t>Commissioners</w:t>
            </w:r>
            <w:r>
              <w:rPr>
                <w:noProof/>
                <w:webHidden/>
              </w:rPr>
              <w:tab/>
            </w:r>
            <w:r>
              <w:rPr>
                <w:noProof/>
                <w:webHidden/>
              </w:rPr>
              <w:fldChar w:fldCharType="begin"/>
            </w:r>
            <w:r>
              <w:rPr>
                <w:noProof/>
                <w:webHidden/>
              </w:rPr>
              <w:instrText xml:space="preserve"> PAGEREF _Toc94088095 \h </w:instrText>
            </w:r>
            <w:r>
              <w:rPr>
                <w:noProof/>
                <w:webHidden/>
              </w:rPr>
            </w:r>
            <w:r>
              <w:rPr>
                <w:noProof/>
                <w:webHidden/>
              </w:rPr>
              <w:fldChar w:fldCharType="separate"/>
            </w:r>
            <w:r>
              <w:rPr>
                <w:noProof/>
                <w:webHidden/>
              </w:rPr>
              <w:t>3</w:t>
            </w:r>
            <w:r>
              <w:rPr>
                <w:noProof/>
                <w:webHidden/>
              </w:rPr>
              <w:fldChar w:fldCharType="end"/>
            </w:r>
          </w:hyperlink>
        </w:p>
        <w:p w:rsidR="00763DB9" w:rsidRDefault="00763DB9">
          <w:pPr>
            <w:pStyle w:val="TOC3"/>
            <w:tabs>
              <w:tab w:val="right" w:leader="dot" w:pos="9016"/>
            </w:tabs>
            <w:rPr>
              <w:rFonts w:asciiTheme="minorHAnsi" w:eastAsiaTheme="minorEastAsia" w:hAnsiTheme="minorHAnsi" w:cstheme="minorBidi"/>
              <w:noProof/>
              <w:sz w:val="22"/>
              <w:lang w:eastAsia="en-GB"/>
            </w:rPr>
          </w:pPr>
          <w:hyperlink w:anchor="_Toc94088096" w:history="1">
            <w:r w:rsidRPr="00084901">
              <w:rPr>
                <w:rStyle w:val="Hyperlink"/>
                <w:noProof/>
              </w:rPr>
              <w:t>Officers</w:t>
            </w:r>
            <w:r>
              <w:rPr>
                <w:noProof/>
                <w:webHidden/>
              </w:rPr>
              <w:tab/>
            </w:r>
            <w:r>
              <w:rPr>
                <w:noProof/>
                <w:webHidden/>
              </w:rPr>
              <w:fldChar w:fldCharType="begin"/>
            </w:r>
            <w:r>
              <w:rPr>
                <w:noProof/>
                <w:webHidden/>
              </w:rPr>
              <w:instrText xml:space="preserve"> PAGEREF _Toc94088096 \h </w:instrText>
            </w:r>
            <w:r>
              <w:rPr>
                <w:noProof/>
                <w:webHidden/>
              </w:rPr>
            </w:r>
            <w:r>
              <w:rPr>
                <w:noProof/>
                <w:webHidden/>
              </w:rPr>
              <w:fldChar w:fldCharType="separate"/>
            </w:r>
            <w:r>
              <w:rPr>
                <w:noProof/>
                <w:webHidden/>
              </w:rPr>
              <w:t>3</w:t>
            </w:r>
            <w:r>
              <w:rPr>
                <w:noProof/>
                <w:webHidden/>
              </w:rPr>
              <w:fldChar w:fldCharType="end"/>
            </w:r>
          </w:hyperlink>
        </w:p>
        <w:p w:rsidR="00763DB9" w:rsidRDefault="00763DB9">
          <w:pPr>
            <w:pStyle w:val="TOC3"/>
            <w:tabs>
              <w:tab w:val="right" w:leader="dot" w:pos="9016"/>
            </w:tabs>
            <w:rPr>
              <w:rFonts w:asciiTheme="minorHAnsi" w:eastAsiaTheme="minorEastAsia" w:hAnsiTheme="minorHAnsi" w:cstheme="minorBidi"/>
              <w:noProof/>
              <w:sz w:val="22"/>
              <w:lang w:eastAsia="en-GB"/>
            </w:rPr>
          </w:pPr>
          <w:hyperlink w:anchor="_Toc94088097" w:history="1">
            <w:r w:rsidRPr="00084901">
              <w:rPr>
                <w:rStyle w:val="Hyperlink"/>
                <w:noProof/>
              </w:rPr>
              <w:t>Guests</w:t>
            </w:r>
            <w:r>
              <w:rPr>
                <w:noProof/>
                <w:webHidden/>
              </w:rPr>
              <w:tab/>
            </w:r>
            <w:r>
              <w:rPr>
                <w:noProof/>
                <w:webHidden/>
              </w:rPr>
              <w:fldChar w:fldCharType="begin"/>
            </w:r>
            <w:r>
              <w:rPr>
                <w:noProof/>
                <w:webHidden/>
              </w:rPr>
              <w:instrText xml:space="preserve"> PAGEREF _Toc94088097 \h </w:instrText>
            </w:r>
            <w:r>
              <w:rPr>
                <w:noProof/>
                <w:webHidden/>
              </w:rPr>
            </w:r>
            <w:r>
              <w:rPr>
                <w:noProof/>
                <w:webHidden/>
              </w:rPr>
              <w:fldChar w:fldCharType="separate"/>
            </w:r>
            <w:r>
              <w:rPr>
                <w:noProof/>
                <w:webHidden/>
              </w:rPr>
              <w:t>3</w:t>
            </w:r>
            <w:r>
              <w:rPr>
                <w:noProof/>
                <w:webHidden/>
              </w:rPr>
              <w:fldChar w:fldCharType="end"/>
            </w:r>
          </w:hyperlink>
        </w:p>
        <w:p w:rsidR="00763DB9" w:rsidRDefault="00763DB9">
          <w:pPr>
            <w:pStyle w:val="TOC3"/>
            <w:tabs>
              <w:tab w:val="right" w:leader="dot" w:pos="9016"/>
            </w:tabs>
            <w:rPr>
              <w:rFonts w:asciiTheme="minorHAnsi" w:eastAsiaTheme="minorEastAsia" w:hAnsiTheme="minorHAnsi" w:cstheme="minorBidi"/>
              <w:noProof/>
              <w:sz w:val="22"/>
              <w:lang w:eastAsia="en-GB"/>
            </w:rPr>
          </w:pPr>
          <w:hyperlink w:anchor="_Toc94088098" w:history="1">
            <w:r w:rsidRPr="00084901">
              <w:rPr>
                <w:rStyle w:val="Hyperlink"/>
                <w:noProof/>
              </w:rPr>
              <w:t>Observer</w:t>
            </w:r>
            <w:r>
              <w:rPr>
                <w:noProof/>
                <w:webHidden/>
              </w:rPr>
              <w:tab/>
            </w:r>
            <w:r>
              <w:rPr>
                <w:noProof/>
                <w:webHidden/>
              </w:rPr>
              <w:fldChar w:fldCharType="begin"/>
            </w:r>
            <w:r>
              <w:rPr>
                <w:noProof/>
                <w:webHidden/>
              </w:rPr>
              <w:instrText xml:space="preserve"> PAGEREF _Toc94088098 \h </w:instrText>
            </w:r>
            <w:r>
              <w:rPr>
                <w:noProof/>
                <w:webHidden/>
              </w:rPr>
            </w:r>
            <w:r>
              <w:rPr>
                <w:noProof/>
                <w:webHidden/>
              </w:rPr>
              <w:fldChar w:fldCharType="separate"/>
            </w:r>
            <w:r>
              <w:rPr>
                <w:noProof/>
                <w:webHidden/>
              </w:rPr>
              <w:t>3</w:t>
            </w:r>
            <w:r>
              <w:rPr>
                <w:noProof/>
                <w:webHidden/>
              </w:rPr>
              <w:fldChar w:fldCharType="end"/>
            </w:r>
          </w:hyperlink>
        </w:p>
        <w:p w:rsidR="00763DB9" w:rsidRDefault="00763DB9">
          <w:pPr>
            <w:pStyle w:val="TOC2"/>
            <w:tabs>
              <w:tab w:val="right" w:leader="dot" w:pos="9016"/>
            </w:tabs>
            <w:rPr>
              <w:rFonts w:asciiTheme="minorHAnsi" w:eastAsiaTheme="minorEastAsia" w:hAnsiTheme="minorHAnsi" w:cstheme="minorBidi"/>
              <w:noProof/>
              <w:sz w:val="22"/>
              <w:lang w:eastAsia="en-GB"/>
            </w:rPr>
          </w:pPr>
          <w:hyperlink w:anchor="_Toc94088099" w:history="1">
            <w:r w:rsidRPr="00084901">
              <w:rPr>
                <w:rStyle w:val="Hyperlink"/>
                <w:noProof/>
              </w:rPr>
              <w:t>Minutes</w:t>
            </w:r>
            <w:r>
              <w:rPr>
                <w:noProof/>
                <w:webHidden/>
              </w:rPr>
              <w:tab/>
            </w:r>
            <w:r>
              <w:rPr>
                <w:noProof/>
                <w:webHidden/>
              </w:rPr>
              <w:fldChar w:fldCharType="begin"/>
            </w:r>
            <w:r>
              <w:rPr>
                <w:noProof/>
                <w:webHidden/>
              </w:rPr>
              <w:instrText xml:space="preserve"> PAGEREF _Toc94088099 \h </w:instrText>
            </w:r>
            <w:r>
              <w:rPr>
                <w:noProof/>
                <w:webHidden/>
              </w:rPr>
            </w:r>
            <w:r>
              <w:rPr>
                <w:noProof/>
                <w:webHidden/>
              </w:rPr>
              <w:fldChar w:fldCharType="separate"/>
            </w:r>
            <w:r>
              <w:rPr>
                <w:noProof/>
                <w:webHidden/>
              </w:rPr>
              <w:t>4</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00" w:history="1">
            <w:r w:rsidRPr="00084901">
              <w:rPr>
                <w:rStyle w:val="Hyperlink"/>
                <w:noProof/>
              </w:rPr>
              <w:t>1.</w:t>
            </w:r>
            <w:r>
              <w:rPr>
                <w:rFonts w:asciiTheme="minorHAnsi" w:eastAsiaTheme="minorEastAsia" w:hAnsiTheme="minorHAnsi" w:cstheme="minorBidi"/>
                <w:noProof/>
                <w:sz w:val="22"/>
                <w:lang w:eastAsia="en-GB"/>
              </w:rPr>
              <w:tab/>
            </w:r>
            <w:r w:rsidRPr="00084901">
              <w:rPr>
                <w:rStyle w:val="Hyperlink"/>
                <w:noProof/>
              </w:rPr>
              <w:t>Chairwoman’s introduction</w:t>
            </w:r>
            <w:r>
              <w:rPr>
                <w:noProof/>
                <w:webHidden/>
              </w:rPr>
              <w:tab/>
            </w:r>
            <w:r>
              <w:rPr>
                <w:noProof/>
                <w:webHidden/>
              </w:rPr>
              <w:fldChar w:fldCharType="begin"/>
            </w:r>
            <w:r>
              <w:rPr>
                <w:noProof/>
                <w:webHidden/>
              </w:rPr>
              <w:instrText xml:space="preserve"> PAGEREF _Toc94088100 \h </w:instrText>
            </w:r>
            <w:r>
              <w:rPr>
                <w:noProof/>
                <w:webHidden/>
              </w:rPr>
            </w:r>
            <w:r>
              <w:rPr>
                <w:noProof/>
                <w:webHidden/>
              </w:rPr>
              <w:fldChar w:fldCharType="separate"/>
            </w:r>
            <w:r>
              <w:rPr>
                <w:noProof/>
                <w:webHidden/>
              </w:rPr>
              <w:t>4</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01" w:history="1">
            <w:r w:rsidRPr="00084901">
              <w:rPr>
                <w:rStyle w:val="Hyperlink"/>
                <w:noProof/>
                <w:lang w:eastAsia="en-GB"/>
              </w:rPr>
              <w:t>2.</w:t>
            </w:r>
            <w:r>
              <w:rPr>
                <w:rFonts w:asciiTheme="minorHAnsi" w:eastAsiaTheme="minorEastAsia" w:hAnsiTheme="minorHAnsi" w:cstheme="minorBidi"/>
                <w:noProof/>
                <w:sz w:val="22"/>
                <w:lang w:eastAsia="en-GB"/>
              </w:rPr>
              <w:tab/>
            </w:r>
            <w:r w:rsidRPr="00084901">
              <w:rPr>
                <w:rStyle w:val="Hyperlink"/>
                <w:noProof/>
                <w:lang w:eastAsia="en-GB"/>
              </w:rPr>
              <w:t>Apologies for absence</w:t>
            </w:r>
            <w:r>
              <w:rPr>
                <w:noProof/>
                <w:webHidden/>
              </w:rPr>
              <w:tab/>
            </w:r>
            <w:r>
              <w:rPr>
                <w:noProof/>
                <w:webHidden/>
              </w:rPr>
              <w:fldChar w:fldCharType="begin"/>
            </w:r>
            <w:r>
              <w:rPr>
                <w:noProof/>
                <w:webHidden/>
              </w:rPr>
              <w:instrText xml:space="preserve"> PAGEREF _Toc94088101 \h </w:instrText>
            </w:r>
            <w:r>
              <w:rPr>
                <w:noProof/>
                <w:webHidden/>
              </w:rPr>
            </w:r>
            <w:r>
              <w:rPr>
                <w:noProof/>
                <w:webHidden/>
              </w:rPr>
              <w:fldChar w:fldCharType="separate"/>
            </w:r>
            <w:r>
              <w:rPr>
                <w:noProof/>
                <w:webHidden/>
              </w:rPr>
              <w:t>4</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02" w:history="1">
            <w:r w:rsidRPr="00084901">
              <w:rPr>
                <w:rStyle w:val="Hyperlink"/>
                <w:noProof/>
              </w:rPr>
              <w:t>3.</w:t>
            </w:r>
            <w:r>
              <w:rPr>
                <w:rFonts w:asciiTheme="minorHAnsi" w:eastAsiaTheme="minorEastAsia" w:hAnsiTheme="minorHAnsi" w:cstheme="minorBidi"/>
                <w:noProof/>
                <w:sz w:val="22"/>
                <w:lang w:eastAsia="en-GB"/>
              </w:rPr>
              <w:tab/>
            </w:r>
            <w:r w:rsidRPr="00084901">
              <w:rPr>
                <w:rStyle w:val="Hyperlink"/>
                <w:noProof/>
              </w:rPr>
              <w:t>Declarations of interest</w:t>
            </w:r>
            <w:r>
              <w:rPr>
                <w:noProof/>
                <w:webHidden/>
              </w:rPr>
              <w:tab/>
            </w:r>
            <w:r>
              <w:rPr>
                <w:noProof/>
                <w:webHidden/>
              </w:rPr>
              <w:fldChar w:fldCharType="begin"/>
            </w:r>
            <w:r>
              <w:rPr>
                <w:noProof/>
                <w:webHidden/>
              </w:rPr>
              <w:instrText xml:space="preserve"> PAGEREF _Toc94088102 \h </w:instrText>
            </w:r>
            <w:r>
              <w:rPr>
                <w:noProof/>
                <w:webHidden/>
              </w:rPr>
            </w:r>
            <w:r>
              <w:rPr>
                <w:noProof/>
                <w:webHidden/>
              </w:rPr>
              <w:fldChar w:fldCharType="separate"/>
            </w:r>
            <w:r>
              <w:rPr>
                <w:noProof/>
                <w:webHidden/>
              </w:rPr>
              <w:t>4</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03" w:history="1">
            <w:r w:rsidRPr="00084901">
              <w:rPr>
                <w:rStyle w:val="Hyperlink"/>
                <w:noProof/>
              </w:rPr>
              <w:t>4.</w:t>
            </w:r>
            <w:r>
              <w:rPr>
                <w:rFonts w:asciiTheme="minorHAnsi" w:eastAsiaTheme="minorEastAsia" w:hAnsiTheme="minorHAnsi" w:cstheme="minorBidi"/>
                <w:noProof/>
                <w:sz w:val="22"/>
                <w:lang w:eastAsia="en-GB"/>
              </w:rPr>
              <w:tab/>
            </w:r>
            <w:r w:rsidRPr="00084901">
              <w:rPr>
                <w:rStyle w:val="Hyperlink"/>
                <w:noProof/>
              </w:rPr>
              <w:t>Minutes and correspondence</w:t>
            </w:r>
            <w:r>
              <w:rPr>
                <w:noProof/>
                <w:webHidden/>
              </w:rPr>
              <w:tab/>
            </w:r>
            <w:r>
              <w:rPr>
                <w:noProof/>
                <w:webHidden/>
              </w:rPr>
              <w:fldChar w:fldCharType="begin"/>
            </w:r>
            <w:r>
              <w:rPr>
                <w:noProof/>
                <w:webHidden/>
              </w:rPr>
              <w:instrText xml:space="preserve"> PAGEREF _Toc94088103 \h </w:instrText>
            </w:r>
            <w:r>
              <w:rPr>
                <w:noProof/>
                <w:webHidden/>
              </w:rPr>
            </w:r>
            <w:r>
              <w:rPr>
                <w:noProof/>
                <w:webHidden/>
              </w:rPr>
              <w:fldChar w:fldCharType="separate"/>
            </w:r>
            <w:r>
              <w:rPr>
                <w:noProof/>
                <w:webHidden/>
              </w:rPr>
              <w:t>4</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04" w:history="1">
            <w:r w:rsidRPr="00084901">
              <w:rPr>
                <w:rStyle w:val="Hyperlink"/>
                <w:noProof/>
              </w:rPr>
              <w:t>5.</w:t>
            </w:r>
            <w:r>
              <w:rPr>
                <w:rFonts w:asciiTheme="minorHAnsi" w:eastAsiaTheme="minorEastAsia" w:hAnsiTheme="minorHAnsi" w:cstheme="minorBidi"/>
                <w:noProof/>
                <w:sz w:val="22"/>
                <w:lang w:eastAsia="en-GB"/>
              </w:rPr>
              <w:tab/>
            </w:r>
            <w:r w:rsidRPr="00084901">
              <w:rPr>
                <w:rStyle w:val="Hyperlink"/>
                <w:noProof/>
              </w:rPr>
              <w:t>Actions arising</w:t>
            </w:r>
            <w:r>
              <w:rPr>
                <w:noProof/>
                <w:webHidden/>
              </w:rPr>
              <w:tab/>
            </w:r>
            <w:r>
              <w:rPr>
                <w:noProof/>
                <w:webHidden/>
              </w:rPr>
              <w:fldChar w:fldCharType="begin"/>
            </w:r>
            <w:r>
              <w:rPr>
                <w:noProof/>
                <w:webHidden/>
              </w:rPr>
              <w:instrText xml:space="preserve"> PAGEREF _Toc94088104 \h </w:instrText>
            </w:r>
            <w:r>
              <w:rPr>
                <w:noProof/>
                <w:webHidden/>
              </w:rPr>
            </w:r>
            <w:r>
              <w:rPr>
                <w:noProof/>
                <w:webHidden/>
              </w:rPr>
              <w:fldChar w:fldCharType="separate"/>
            </w:r>
            <w:r>
              <w:rPr>
                <w:noProof/>
                <w:webHidden/>
              </w:rPr>
              <w:t>4</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05" w:history="1">
            <w:r w:rsidRPr="00084901">
              <w:rPr>
                <w:rStyle w:val="Hyperlink"/>
                <w:noProof/>
              </w:rPr>
              <w:t>6.</w:t>
            </w:r>
            <w:r>
              <w:rPr>
                <w:rFonts w:asciiTheme="minorHAnsi" w:eastAsiaTheme="minorEastAsia" w:hAnsiTheme="minorHAnsi" w:cstheme="minorBidi"/>
                <w:noProof/>
                <w:sz w:val="22"/>
                <w:lang w:eastAsia="en-GB"/>
              </w:rPr>
              <w:tab/>
            </w:r>
            <w:r w:rsidRPr="00084901">
              <w:rPr>
                <w:rStyle w:val="Hyperlink"/>
                <w:noProof/>
              </w:rPr>
              <w:t>Update from P&amp;WC</w:t>
            </w:r>
            <w:r>
              <w:rPr>
                <w:noProof/>
                <w:webHidden/>
              </w:rPr>
              <w:tab/>
            </w:r>
            <w:r>
              <w:rPr>
                <w:noProof/>
                <w:webHidden/>
              </w:rPr>
              <w:fldChar w:fldCharType="begin"/>
            </w:r>
            <w:r>
              <w:rPr>
                <w:noProof/>
                <w:webHidden/>
              </w:rPr>
              <w:instrText xml:space="preserve"> PAGEREF _Toc94088105 \h </w:instrText>
            </w:r>
            <w:r>
              <w:rPr>
                <w:noProof/>
                <w:webHidden/>
              </w:rPr>
            </w:r>
            <w:r>
              <w:rPr>
                <w:noProof/>
                <w:webHidden/>
              </w:rPr>
              <w:fldChar w:fldCharType="separate"/>
            </w:r>
            <w:r>
              <w:rPr>
                <w:noProof/>
                <w:webHidden/>
              </w:rPr>
              <w:t>5</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06" w:history="1">
            <w:r w:rsidRPr="00084901">
              <w:rPr>
                <w:rStyle w:val="Hyperlink"/>
                <w:noProof/>
              </w:rPr>
              <w:t>7.</w:t>
            </w:r>
            <w:r>
              <w:rPr>
                <w:rFonts w:asciiTheme="minorHAnsi" w:eastAsiaTheme="minorEastAsia" w:hAnsiTheme="minorHAnsi" w:cstheme="minorBidi"/>
                <w:noProof/>
                <w:sz w:val="22"/>
                <w:lang w:eastAsia="en-GB"/>
              </w:rPr>
              <w:tab/>
            </w:r>
            <w:r w:rsidRPr="00084901">
              <w:rPr>
                <w:rStyle w:val="Hyperlink"/>
                <w:noProof/>
              </w:rPr>
              <w:t>Other Committee and CWG updates</w:t>
            </w:r>
            <w:r>
              <w:rPr>
                <w:noProof/>
                <w:webHidden/>
              </w:rPr>
              <w:tab/>
            </w:r>
            <w:r>
              <w:rPr>
                <w:noProof/>
                <w:webHidden/>
              </w:rPr>
              <w:fldChar w:fldCharType="begin"/>
            </w:r>
            <w:r>
              <w:rPr>
                <w:noProof/>
                <w:webHidden/>
              </w:rPr>
              <w:instrText xml:space="preserve"> PAGEREF _Toc94088106 \h </w:instrText>
            </w:r>
            <w:r>
              <w:rPr>
                <w:noProof/>
                <w:webHidden/>
              </w:rPr>
            </w:r>
            <w:r>
              <w:rPr>
                <w:noProof/>
                <w:webHidden/>
              </w:rPr>
              <w:fldChar w:fldCharType="separate"/>
            </w:r>
            <w:r>
              <w:rPr>
                <w:noProof/>
                <w:webHidden/>
              </w:rPr>
              <w:t>5</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07" w:history="1">
            <w:r w:rsidRPr="00084901">
              <w:rPr>
                <w:rStyle w:val="Hyperlink"/>
                <w:noProof/>
              </w:rPr>
              <w:t>8.</w:t>
            </w:r>
            <w:r>
              <w:rPr>
                <w:rFonts w:asciiTheme="minorHAnsi" w:eastAsiaTheme="minorEastAsia" w:hAnsiTheme="minorHAnsi" w:cstheme="minorBidi"/>
                <w:noProof/>
                <w:sz w:val="22"/>
                <w:lang w:eastAsia="en-GB"/>
              </w:rPr>
              <w:tab/>
            </w:r>
            <w:r w:rsidRPr="00084901">
              <w:rPr>
                <w:rStyle w:val="Hyperlink"/>
                <w:noProof/>
              </w:rPr>
              <w:t>Audit and Risk Assurance Committee update</w:t>
            </w:r>
            <w:r>
              <w:rPr>
                <w:noProof/>
                <w:webHidden/>
              </w:rPr>
              <w:tab/>
            </w:r>
            <w:r>
              <w:rPr>
                <w:noProof/>
                <w:webHidden/>
              </w:rPr>
              <w:fldChar w:fldCharType="begin"/>
            </w:r>
            <w:r>
              <w:rPr>
                <w:noProof/>
                <w:webHidden/>
              </w:rPr>
              <w:instrText xml:space="preserve"> PAGEREF _Toc94088107 \h </w:instrText>
            </w:r>
            <w:r>
              <w:rPr>
                <w:noProof/>
                <w:webHidden/>
              </w:rPr>
            </w:r>
            <w:r>
              <w:rPr>
                <w:noProof/>
                <w:webHidden/>
              </w:rPr>
              <w:fldChar w:fldCharType="separate"/>
            </w:r>
            <w:r>
              <w:rPr>
                <w:noProof/>
                <w:webHidden/>
              </w:rPr>
              <w:t>5</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08" w:history="1">
            <w:r w:rsidRPr="00084901">
              <w:rPr>
                <w:rStyle w:val="Hyperlink"/>
                <w:noProof/>
              </w:rPr>
              <w:t>9.</w:t>
            </w:r>
            <w:r>
              <w:rPr>
                <w:rFonts w:asciiTheme="minorHAnsi" w:eastAsiaTheme="minorEastAsia" w:hAnsiTheme="minorHAnsi" w:cstheme="minorBidi"/>
                <w:noProof/>
                <w:sz w:val="22"/>
                <w:lang w:eastAsia="en-GB"/>
              </w:rPr>
              <w:tab/>
            </w:r>
            <w:r w:rsidRPr="00084901">
              <w:rPr>
                <w:rStyle w:val="Hyperlink"/>
                <w:noProof/>
              </w:rPr>
              <w:t>Finance report</w:t>
            </w:r>
            <w:r>
              <w:rPr>
                <w:noProof/>
                <w:webHidden/>
              </w:rPr>
              <w:tab/>
            </w:r>
            <w:r>
              <w:rPr>
                <w:noProof/>
                <w:webHidden/>
              </w:rPr>
              <w:fldChar w:fldCharType="begin"/>
            </w:r>
            <w:r>
              <w:rPr>
                <w:noProof/>
                <w:webHidden/>
              </w:rPr>
              <w:instrText xml:space="preserve"> PAGEREF _Toc94088108 \h </w:instrText>
            </w:r>
            <w:r>
              <w:rPr>
                <w:noProof/>
                <w:webHidden/>
              </w:rPr>
            </w:r>
            <w:r>
              <w:rPr>
                <w:noProof/>
                <w:webHidden/>
              </w:rPr>
              <w:fldChar w:fldCharType="separate"/>
            </w:r>
            <w:r>
              <w:rPr>
                <w:noProof/>
                <w:webHidden/>
              </w:rPr>
              <w:t>6</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09" w:history="1">
            <w:r w:rsidRPr="00084901">
              <w:rPr>
                <w:rStyle w:val="Hyperlink"/>
                <w:noProof/>
              </w:rPr>
              <w:t>10.</w:t>
            </w:r>
            <w:r>
              <w:rPr>
                <w:rFonts w:asciiTheme="minorHAnsi" w:eastAsiaTheme="minorEastAsia" w:hAnsiTheme="minorHAnsi" w:cstheme="minorBidi"/>
                <w:noProof/>
                <w:sz w:val="22"/>
                <w:lang w:eastAsia="en-GB"/>
              </w:rPr>
              <w:tab/>
            </w:r>
            <w:r w:rsidRPr="00084901">
              <w:rPr>
                <w:rStyle w:val="Hyperlink"/>
                <w:noProof/>
              </w:rPr>
              <w:t>Risk Report</w:t>
            </w:r>
            <w:r>
              <w:rPr>
                <w:noProof/>
                <w:webHidden/>
              </w:rPr>
              <w:tab/>
            </w:r>
            <w:r>
              <w:rPr>
                <w:noProof/>
                <w:webHidden/>
              </w:rPr>
              <w:fldChar w:fldCharType="begin"/>
            </w:r>
            <w:r>
              <w:rPr>
                <w:noProof/>
                <w:webHidden/>
              </w:rPr>
              <w:instrText xml:space="preserve"> PAGEREF _Toc94088109 \h </w:instrText>
            </w:r>
            <w:r>
              <w:rPr>
                <w:noProof/>
                <w:webHidden/>
              </w:rPr>
            </w:r>
            <w:r>
              <w:rPr>
                <w:noProof/>
                <w:webHidden/>
              </w:rPr>
              <w:fldChar w:fldCharType="separate"/>
            </w:r>
            <w:r>
              <w:rPr>
                <w:noProof/>
                <w:webHidden/>
              </w:rPr>
              <w:t>6</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10" w:history="1">
            <w:r w:rsidRPr="00084901">
              <w:rPr>
                <w:rStyle w:val="Hyperlink"/>
                <w:noProof/>
              </w:rPr>
              <w:t>11.</w:t>
            </w:r>
            <w:r>
              <w:rPr>
                <w:rFonts w:asciiTheme="minorHAnsi" w:eastAsiaTheme="minorEastAsia" w:hAnsiTheme="minorHAnsi" w:cstheme="minorBidi"/>
                <w:noProof/>
                <w:sz w:val="22"/>
                <w:lang w:eastAsia="en-GB"/>
              </w:rPr>
              <w:tab/>
            </w:r>
            <w:r w:rsidRPr="00084901">
              <w:rPr>
                <w:rStyle w:val="Hyperlink"/>
                <w:noProof/>
              </w:rPr>
              <w:t>CEO Report</w:t>
            </w:r>
            <w:r>
              <w:rPr>
                <w:noProof/>
                <w:webHidden/>
              </w:rPr>
              <w:tab/>
            </w:r>
            <w:r>
              <w:rPr>
                <w:noProof/>
                <w:webHidden/>
              </w:rPr>
              <w:fldChar w:fldCharType="begin"/>
            </w:r>
            <w:r>
              <w:rPr>
                <w:noProof/>
                <w:webHidden/>
              </w:rPr>
              <w:instrText xml:space="preserve"> PAGEREF _Toc94088110 \h </w:instrText>
            </w:r>
            <w:r>
              <w:rPr>
                <w:noProof/>
                <w:webHidden/>
              </w:rPr>
            </w:r>
            <w:r>
              <w:rPr>
                <w:noProof/>
                <w:webHidden/>
              </w:rPr>
              <w:fldChar w:fldCharType="separate"/>
            </w:r>
            <w:r>
              <w:rPr>
                <w:noProof/>
                <w:webHidden/>
              </w:rPr>
              <w:t>6</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11" w:history="1">
            <w:r w:rsidRPr="00084901">
              <w:rPr>
                <w:rStyle w:val="Hyperlink"/>
                <w:noProof/>
              </w:rPr>
              <w:t>12.</w:t>
            </w:r>
            <w:r>
              <w:rPr>
                <w:rFonts w:asciiTheme="minorHAnsi" w:eastAsiaTheme="minorEastAsia" w:hAnsiTheme="minorHAnsi" w:cstheme="minorBidi"/>
                <w:noProof/>
                <w:sz w:val="22"/>
                <w:lang w:eastAsia="en-GB"/>
              </w:rPr>
              <w:tab/>
            </w:r>
            <w:r w:rsidRPr="00084901">
              <w:rPr>
                <w:rStyle w:val="Hyperlink"/>
                <w:noProof/>
              </w:rPr>
              <w:t>Performance report</w:t>
            </w:r>
            <w:r>
              <w:rPr>
                <w:noProof/>
                <w:webHidden/>
              </w:rPr>
              <w:tab/>
            </w:r>
            <w:r>
              <w:rPr>
                <w:noProof/>
                <w:webHidden/>
              </w:rPr>
              <w:fldChar w:fldCharType="begin"/>
            </w:r>
            <w:r>
              <w:rPr>
                <w:noProof/>
                <w:webHidden/>
              </w:rPr>
              <w:instrText xml:space="preserve"> PAGEREF _Toc94088111 \h </w:instrText>
            </w:r>
            <w:r>
              <w:rPr>
                <w:noProof/>
                <w:webHidden/>
              </w:rPr>
            </w:r>
            <w:r>
              <w:rPr>
                <w:noProof/>
                <w:webHidden/>
              </w:rPr>
              <w:fldChar w:fldCharType="separate"/>
            </w:r>
            <w:r>
              <w:rPr>
                <w:noProof/>
                <w:webHidden/>
              </w:rPr>
              <w:t>7</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12" w:history="1">
            <w:r w:rsidRPr="00084901">
              <w:rPr>
                <w:rStyle w:val="Hyperlink"/>
                <w:noProof/>
              </w:rPr>
              <w:t>13.</w:t>
            </w:r>
            <w:r>
              <w:rPr>
                <w:rFonts w:asciiTheme="minorHAnsi" w:eastAsiaTheme="minorEastAsia" w:hAnsiTheme="minorHAnsi" w:cstheme="minorBidi"/>
                <w:noProof/>
                <w:sz w:val="22"/>
                <w:lang w:eastAsia="en-GB"/>
              </w:rPr>
              <w:tab/>
            </w:r>
            <w:r w:rsidRPr="00084901">
              <w:rPr>
                <w:rStyle w:val="Hyperlink"/>
                <w:noProof/>
              </w:rPr>
              <w:t>Board Governance processes</w:t>
            </w:r>
            <w:r>
              <w:rPr>
                <w:noProof/>
                <w:webHidden/>
              </w:rPr>
              <w:tab/>
            </w:r>
            <w:r>
              <w:rPr>
                <w:noProof/>
                <w:webHidden/>
              </w:rPr>
              <w:fldChar w:fldCharType="begin"/>
            </w:r>
            <w:r>
              <w:rPr>
                <w:noProof/>
                <w:webHidden/>
              </w:rPr>
              <w:instrText xml:space="preserve"> PAGEREF _Toc94088112 \h </w:instrText>
            </w:r>
            <w:r>
              <w:rPr>
                <w:noProof/>
                <w:webHidden/>
              </w:rPr>
            </w:r>
            <w:r>
              <w:rPr>
                <w:noProof/>
                <w:webHidden/>
              </w:rPr>
              <w:fldChar w:fldCharType="separate"/>
            </w:r>
            <w:r>
              <w:rPr>
                <w:noProof/>
                <w:webHidden/>
              </w:rPr>
              <w:t>7</w:t>
            </w:r>
            <w:r>
              <w:rPr>
                <w:noProof/>
                <w:webHidden/>
              </w:rPr>
              <w:fldChar w:fldCharType="end"/>
            </w:r>
          </w:hyperlink>
        </w:p>
        <w:p w:rsidR="00763DB9" w:rsidRDefault="00763DB9">
          <w:pPr>
            <w:pStyle w:val="TOC3"/>
            <w:tabs>
              <w:tab w:val="left" w:pos="1100"/>
              <w:tab w:val="right" w:leader="dot" w:pos="9016"/>
            </w:tabs>
            <w:rPr>
              <w:rFonts w:asciiTheme="minorHAnsi" w:eastAsiaTheme="minorEastAsia" w:hAnsiTheme="minorHAnsi" w:cstheme="minorBidi"/>
              <w:noProof/>
              <w:sz w:val="22"/>
              <w:lang w:eastAsia="en-GB"/>
            </w:rPr>
          </w:pPr>
          <w:hyperlink w:anchor="_Toc94088113" w:history="1">
            <w:r w:rsidRPr="00084901">
              <w:rPr>
                <w:rStyle w:val="Hyperlink"/>
                <w:noProof/>
              </w:rPr>
              <w:t>14.</w:t>
            </w:r>
            <w:r>
              <w:rPr>
                <w:rFonts w:asciiTheme="minorHAnsi" w:eastAsiaTheme="minorEastAsia" w:hAnsiTheme="minorHAnsi" w:cstheme="minorBidi"/>
                <w:noProof/>
                <w:sz w:val="22"/>
                <w:lang w:eastAsia="en-GB"/>
              </w:rPr>
              <w:tab/>
            </w:r>
            <w:r w:rsidRPr="00084901">
              <w:rPr>
                <w:rStyle w:val="Hyperlink"/>
                <w:noProof/>
              </w:rPr>
              <w:t>Any other business</w:t>
            </w:r>
            <w:r>
              <w:rPr>
                <w:noProof/>
                <w:webHidden/>
              </w:rPr>
              <w:tab/>
            </w:r>
            <w:r>
              <w:rPr>
                <w:noProof/>
                <w:webHidden/>
              </w:rPr>
              <w:fldChar w:fldCharType="begin"/>
            </w:r>
            <w:r>
              <w:rPr>
                <w:noProof/>
                <w:webHidden/>
              </w:rPr>
              <w:instrText xml:space="preserve"> PAGEREF _Toc94088113 \h </w:instrText>
            </w:r>
            <w:r>
              <w:rPr>
                <w:noProof/>
                <w:webHidden/>
              </w:rPr>
            </w:r>
            <w:r>
              <w:rPr>
                <w:noProof/>
                <w:webHidden/>
              </w:rPr>
              <w:fldChar w:fldCharType="separate"/>
            </w:r>
            <w:r>
              <w:rPr>
                <w:noProof/>
                <w:webHidden/>
              </w:rPr>
              <w:t>8</w:t>
            </w:r>
            <w:r>
              <w:rPr>
                <w:noProof/>
                <w:webHidden/>
              </w:rPr>
              <w:fldChar w:fldCharType="end"/>
            </w:r>
          </w:hyperlink>
        </w:p>
        <w:p w:rsidR="00763DB9" w:rsidRDefault="00F95175" w:rsidP="00763DB9">
          <w:pPr>
            <w:rPr>
              <w:b/>
              <w:bCs/>
              <w:noProof/>
            </w:rPr>
          </w:pPr>
          <w:r>
            <w:rPr>
              <w:b/>
              <w:bCs/>
              <w:noProof/>
            </w:rPr>
            <w:fldChar w:fldCharType="end"/>
          </w:r>
        </w:p>
      </w:sdtContent>
    </w:sdt>
    <w:p w:rsidR="00B218B9" w:rsidRPr="00763DB9" w:rsidRDefault="00B218B9" w:rsidP="00763DB9">
      <w:r>
        <w:lastRenderedPageBreak/>
        <w:br w:type="page"/>
      </w:r>
    </w:p>
    <w:p w:rsidR="002C1949" w:rsidRPr="00DD3D0F" w:rsidRDefault="00B218B9" w:rsidP="00534703">
      <w:pPr>
        <w:pStyle w:val="level2section"/>
      </w:pPr>
      <w:bookmarkStart w:id="4" w:name="_Toc94088094"/>
      <w:bookmarkEnd w:id="3"/>
      <w:r>
        <w:lastRenderedPageBreak/>
        <w:t>Attending</w:t>
      </w:r>
      <w:bookmarkEnd w:id="4"/>
    </w:p>
    <w:p w:rsidR="00B218B9" w:rsidRPr="00B218B9" w:rsidRDefault="00B218B9" w:rsidP="00B218B9">
      <w:pPr>
        <w:pStyle w:val="Heading3"/>
      </w:pPr>
      <w:bookmarkStart w:id="5" w:name="_Toc532893250"/>
      <w:bookmarkStart w:id="6" w:name="_Toc94088095"/>
      <w:r w:rsidRPr="00B218B9">
        <w:t>Commissioners</w:t>
      </w:r>
      <w:bookmarkEnd w:id="6"/>
    </w:p>
    <w:p w:rsidR="00B218B9" w:rsidRDefault="00980CDC" w:rsidP="00B218B9">
      <w:r w:rsidRPr="00980CDC">
        <w:t>Baroness Kishwer Falkner (Chairwoman); Caroline Waters (Deputy Chair); Suzanne Baxter; Jessica Butcher; Pavita Cooper (Items 1 to 12) David Goodhart; Susan Johnson; Helen Mahy; Alasdair Henderson (Item 11 to 14), Mark McLane, Lord Bernard Ribeiro; Dr Lesley Sawers; and Su-Mei Thompson.</w:t>
      </w:r>
    </w:p>
    <w:p w:rsidR="00980CDC" w:rsidRPr="00B218B9" w:rsidRDefault="00980CDC" w:rsidP="00B218B9"/>
    <w:p w:rsidR="00B218B9" w:rsidRPr="00B218B9" w:rsidRDefault="00B218B9" w:rsidP="00B218B9">
      <w:pPr>
        <w:pStyle w:val="Heading3"/>
      </w:pPr>
      <w:bookmarkStart w:id="7" w:name="_Toc94088096"/>
      <w:r w:rsidRPr="00B218B9">
        <w:t>Officers</w:t>
      </w:r>
      <w:bookmarkEnd w:id="7"/>
    </w:p>
    <w:p w:rsidR="00980CDC" w:rsidRDefault="00980CDC" w:rsidP="00980CDC">
      <w:r>
        <w:t>Marcial Boo, Chief Executive Officer</w:t>
      </w:r>
    </w:p>
    <w:p w:rsidR="00980CDC" w:rsidRDefault="00980CDC" w:rsidP="00980CDC">
      <w:r>
        <w:t>Ben Coates, Chief of Staff</w:t>
      </w:r>
    </w:p>
    <w:p w:rsidR="00980CDC" w:rsidRDefault="00980CDC" w:rsidP="00980CDC">
      <w:r>
        <w:t>Melanie Field, Chief Strategy and Policy Officer</w:t>
      </w:r>
    </w:p>
    <w:p w:rsidR="00980CDC" w:rsidRDefault="00980CDC" w:rsidP="00980CDC">
      <w:r>
        <w:t xml:space="preserve">Callum MacInnes, Principal – Planning, Performance and Governance </w:t>
      </w:r>
    </w:p>
    <w:p w:rsidR="00980CDC" w:rsidRDefault="00980CDC" w:rsidP="00980CDC">
      <w:r>
        <w:t>Bill Malloy, Director of Finance, Procurement, Planning, Performance &amp; Governance</w:t>
      </w:r>
    </w:p>
    <w:p w:rsidR="00B218B9" w:rsidRDefault="00980CDC" w:rsidP="00980CDC">
      <w:r>
        <w:t>Graham Wheaton, Senior Associate – Planning, Performance and Governance</w:t>
      </w:r>
    </w:p>
    <w:p w:rsidR="00980CDC" w:rsidRPr="00B218B9" w:rsidRDefault="00980CDC" w:rsidP="00980CDC"/>
    <w:p w:rsidR="00B218B9" w:rsidRPr="00B218B9" w:rsidRDefault="00B218B9" w:rsidP="00B218B9">
      <w:pPr>
        <w:pStyle w:val="Heading3"/>
      </w:pPr>
      <w:bookmarkStart w:id="8" w:name="_Toc94088097"/>
      <w:r w:rsidRPr="00B218B9">
        <w:t>Guests</w:t>
      </w:r>
      <w:bookmarkEnd w:id="8"/>
    </w:p>
    <w:p w:rsidR="00980CDC" w:rsidRDefault="00980CDC" w:rsidP="00980CDC">
      <w:r>
        <w:t>Martyn Jones, Interim Chair - EHRC Wales Committee</w:t>
      </w:r>
    </w:p>
    <w:p w:rsidR="00B218B9" w:rsidRDefault="00980CDC" w:rsidP="00980CDC">
      <w:r>
        <w:t>Charles Ramsden – Government Equalities Office (GEO)</w:t>
      </w:r>
    </w:p>
    <w:p w:rsidR="00980CDC" w:rsidRPr="00B218B9" w:rsidRDefault="00980CDC" w:rsidP="00980CDC"/>
    <w:p w:rsidR="00B218B9" w:rsidRPr="00B218B9" w:rsidRDefault="00B218B9" w:rsidP="00B218B9">
      <w:pPr>
        <w:pStyle w:val="Heading3"/>
      </w:pPr>
      <w:bookmarkStart w:id="9" w:name="_Toc94088098"/>
      <w:r w:rsidRPr="00B218B9">
        <w:t>Observer</w:t>
      </w:r>
      <w:bookmarkEnd w:id="9"/>
    </w:p>
    <w:p w:rsidR="004B0BB6" w:rsidRPr="00DD3D0F" w:rsidRDefault="00980CDC" w:rsidP="004B0BB6">
      <w:pPr>
        <w:rPr>
          <w:rFonts w:cs="Arial"/>
          <w:noProof/>
          <w:szCs w:val="24"/>
          <w:lang w:eastAsia="en-GB"/>
        </w:rPr>
      </w:pPr>
      <w:r w:rsidRPr="00980CDC">
        <w:t>Megan Cruickshank, Senior Associate - Planning, Performance and Governance</w:t>
      </w:r>
    </w:p>
    <w:p w:rsidR="00B218B9" w:rsidRDefault="00B218B9">
      <w:pPr>
        <w:spacing w:after="160" w:line="259" w:lineRule="auto"/>
        <w:rPr>
          <w:rFonts w:eastAsia="Times New Roman"/>
          <w:b/>
          <w:bCs/>
          <w:sz w:val="28"/>
          <w:szCs w:val="26"/>
        </w:rPr>
      </w:pPr>
      <w:r>
        <w:br w:type="page"/>
      </w:r>
    </w:p>
    <w:p w:rsidR="000775A5" w:rsidRPr="00DD3D0F" w:rsidRDefault="00125423" w:rsidP="00534703">
      <w:pPr>
        <w:pStyle w:val="level2section"/>
        <w:rPr>
          <w:rFonts w:cs="Arial"/>
          <w:sz w:val="32"/>
          <w:szCs w:val="32"/>
        </w:rPr>
      </w:pPr>
      <w:bookmarkStart w:id="10" w:name="_Toc94088099"/>
      <w:r>
        <w:lastRenderedPageBreak/>
        <w:t>Minutes</w:t>
      </w:r>
      <w:bookmarkEnd w:id="10"/>
    </w:p>
    <w:p w:rsidR="00B218B9" w:rsidRPr="00B218B9" w:rsidRDefault="00B218B9" w:rsidP="00125423">
      <w:pPr>
        <w:pStyle w:val="Heading3"/>
      </w:pPr>
      <w:bookmarkStart w:id="11" w:name="_Toc94088100"/>
      <w:r w:rsidRPr="00B218B9">
        <w:t>1.</w:t>
      </w:r>
      <w:r w:rsidRPr="00B218B9">
        <w:tab/>
        <w:t>Chairwoman’s introduction</w:t>
      </w:r>
      <w:bookmarkEnd w:id="11"/>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1.1</w:t>
      </w:r>
      <w:r w:rsidRPr="00B218B9">
        <w:rPr>
          <w:rFonts w:cs="Arial"/>
          <w:szCs w:val="24"/>
        </w:rPr>
        <w:tab/>
      </w:r>
      <w:r w:rsidR="00980CDC" w:rsidRPr="00980CDC">
        <w:rPr>
          <w:rFonts w:cs="Arial"/>
          <w:szCs w:val="24"/>
        </w:rPr>
        <w:t>The Chairwoman welcomed attendees. Martyn Jones continued to attend as Interim Chair of the Commission’s Wales Committee, pending the appointment of a Wales Commissioner.</w:t>
      </w:r>
    </w:p>
    <w:p w:rsidR="00B218B9" w:rsidRPr="00B218B9" w:rsidRDefault="00B218B9" w:rsidP="00B218B9">
      <w:pPr>
        <w:spacing w:line="240" w:lineRule="auto"/>
        <w:rPr>
          <w:rFonts w:cs="Arial"/>
          <w:color w:val="1F497D"/>
          <w:szCs w:val="24"/>
        </w:rPr>
      </w:pPr>
    </w:p>
    <w:p w:rsidR="00B218B9" w:rsidRPr="00B218B9" w:rsidRDefault="00B218B9" w:rsidP="00125423">
      <w:pPr>
        <w:pStyle w:val="Heading3"/>
        <w:rPr>
          <w:rFonts w:eastAsia="Times New Roman"/>
          <w:bCs/>
          <w:lang w:eastAsia="en-GB"/>
        </w:rPr>
      </w:pPr>
      <w:bookmarkStart w:id="12" w:name="_Toc94088101"/>
      <w:r w:rsidRPr="00B218B9">
        <w:rPr>
          <w:lang w:eastAsia="en-GB"/>
        </w:rPr>
        <w:t>2.</w:t>
      </w:r>
      <w:r w:rsidRPr="00B218B9">
        <w:rPr>
          <w:lang w:eastAsia="en-GB"/>
        </w:rPr>
        <w:tab/>
        <w:t>Apologies for absence</w:t>
      </w:r>
      <w:bookmarkEnd w:id="12"/>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iCs/>
          <w:szCs w:val="24"/>
          <w:lang w:eastAsia="en-GB"/>
        </w:rPr>
      </w:pPr>
      <w:r w:rsidRPr="00B218B9">
        <w:rPr>
          <w:rFonts w:cs="Arial"/>
          <w:szCs w:val="24"/>
        </w:rPr>
        <w:t>2.1</w:t>
      </w:r>
      <w:r w:rsidRPr="00B218B9">
        <w:rPr>
          <w:rFonts w:cs="Arial"/>
          <w:szCs w:val="24"/>
        </w:rPr>
        <w:tab/>
      </w:r>
      <w:r w:rsidR="00980CDC" w:rsidRPr="00980CDC">
        <w:rPr>
          <w:rFonts w:cs="Arial"/>
          <w:szCs w:val="24"/>
        </w:rPr>
        <w:t>Apologies were received from Cath Denholm.</w:t>
      </w:r>
    </w:p>
    <w:p w:rsidR="00B218B9" w:rsidRPr="00B218B9" w:rsidRDefault="00B218B9" w:rsidP="00B218B9">
      <w:pPr>
        <w:spacing w:line="240" w:lineRule="auto"/>
        <w:ind w:left="1800" w:hanging="720"/>
        <w:rPr>
          <w:rFonts w:cs="Arial"/>
          <w:iCs/>
          <w:szCs w:val="24"/>
          <w:lang w:eastAsia="en-GB"/>
        </w:rPr>
      </w:pPr>
    </w:p>
    <w:p w:rsidR="00B218B9" w:rsidRPr="00B218B9" w:rsidRDefault="00B218B9" w:rsidP="00125423">
      <w:pPr>
        <w:pStyle w:val="Heading3"/>
      </w:pPr>
      <w:bookmarkStart w:id="13" w:name="_Toc94088102"/>
      <w:r w:rsidRPr="00B218B9">
        <w:t>3.</w:t>
      </w:r>
      <w:r w:rsidRPr="00B218B9">
        <w:tab/>
        <w:t>Declarations of interest</w:t>
      </w:r>
      <w:bookmarkEnd w:id="13"/>
      <w:r w:rsidRPr="00B218B9">
        <w:t xml:space="preserve"> </w:t>
      </w:r>
    </w:p>
    <w:p w:rsidR="00B218B9" w:rsidRPr="00B218B9" w:rsidRDefault="00B218B9" w:rsidP="00B218B9">
      <w:pPr>
        <w:spacing w:line="240" w:lineRule="auto"/>
        <w:rPr>
          <w:rFonts w:cs="Arial"/>
          <w:szCs w:val="24"/>
        </w:rPr>
      </w:pPr>
    </w:p>
    <w:p w:rsidR="00980CDC" w:rsidRDefault="00980CDC" w:rsidP="00980CDC">
      <w:pPr>
        <w:spacing w:line="240" w:lineRule="auto"/>
        <w:ind w:left="720" w:hanging="720"/>
        <w:rPr>
          <w:rFonts w:cs="Arial"/>
          <w:szCs w:val="24"/>
        </w:rPr>
      </w:pPr>
      <w:r w:rsidRPr="00C454D5">
        <w:rPr>
          <w:rFonts w:cs="Arial"/>
          <w:szCs w:val="24"/>
        </w:rPr>
        <w:t>3.1</w:t>
      </w:r>
      <w:r w:rsidRPr="00C454D5">
        <w:rPr>
          <w:rFonts w:cs="Arial"/>
          <w:szCs w:val="24"/>
        </w:rPr>
        <w:tab/>
      </w:r>
      <w:r>
        <w:rPr>
          <w:rFonts w:cs="Arial"/>
          <w:szCs w:val="24"/>
        </w:rPr>
        <w:t xml:space="preserve">The Chairwoman </w:t>
      </w:r>
      <w:r w:rsidRPr="004D740F">
        <w:rPr>
          <w:rFonts w:cs="Arial"/>
          <w:szCs w:val="24"/>
        </w:rPr>
        <w:t xml:space="preserve">declared a new conflict of interest. A family member had </w:t>
      </w:r>
      <w:r>
        <w:rPr>
          <w:rFonts w:cs="Arial"/>
          <w:szCs w:val="24"/>
        </w:rPr>
        <w:t xml:space="preserve">accepted a role at the headquarters of a political party </w:t>
      </w:r>
      <w:r w:rsidRPr="004D740F">
        <w:rPr>
          <w:rFonts w:cs="Arial"/>
          <w:szCs w:val="24"/>
        </w:rPr>
        <w:t>on 01 October. This w</w:t>
      </w:r>
      <w:r>
        <w:rPr>
          <w:rFonts w:cs="Arial"/>
          <w:szCs w:val="24"/>
        </w:rPr>
        <w:t>ould</w:t>
      </w:r>
      <w:r w:rsidRPr="004D740F">
        <w:rPr>
          <w:rFonts w:cs="Arial"/>
          <w:szCs w:val="24"/>
        </w:rPr>
        <w:t xml:space="preserve"> require </w:t>
      </w:r>
      <w:r>
        <w:rPr>
          <w:rFonts w:cs="Arial"/>
          <w:szCs w:val="24"/>
        </w:rPr>
        <w:t>the Chairwoman</w:t>
      </w:r>
      <w:r w:rsidRPr="004D740F">
        <w:rPr>
          <w:rFonts w:cs="Arial"/>
          <w:szCs w:val="24"/>
        </w:rPr>
        <w:t xml:space="preserve"> to recuse herself, as appropriate, from discussions, meetings and decisions related to </w:t>
      </w:r>
      <w:r>
        <w:rPr>
          <w:rFonts w:cs="Arial"/>
          <w:szCs w:val="24"/>
        </w:rPr>
        <w:t>that party</w:t>
      </w:r>
      <w:r w:rsidRPr="004D740F">
        <w:rPr>
          <w:rFonts w:cs="Arial"/>
          <w:szCs w:val="24"/>
        </w:rPr>
        <w:t>.</w:t>
      </w:r>
    </w:p>
    <w:p w:rsidR="00980CDC" w:rsidRDefault="00980CDC" w:rsidP="00980CDC">
      <w:pPr>
        <w:spacing w:line="240" w:lineRule="auto"/>
        <w:ind w:left="720" w:hanging="720"/>
        <w:rPr>
          <w:rFonts w:cs="Arial"/>
          <w:szCs w:val="24"/>
        </w:rPr>
      </w:pPr>
    </w:p>
    <w:p w:rsidR="00980CDC" w:rsidRPr="00596F97" w:rsidRDefault="00980CDC" w:rsidP="00980CDC">
      <w:pPr>
        <w:spacing w:line="240" w:lineRule="auto"/>
        <w:ind w:left="720" w:hanging="720"/>
        <w:rPr>
          <w:rFonts w:cs="Arial"/>
          <w:szCs w:val="24"/>
        </w:rPr>
      </w:pPr>
      <w:r>
        <w:rPr>
          <w:rFonts w:cs="Arial"/>
          <w:szCs w:val="24"/>
        </w:rPr>
        <w:t>3.2</w:t>
      </w:r>
      <w:r>
        <w:rPr>
          <w:rFonts w:cs="Arial"/>
          <w:szCs w:val="24"/>
        </w:rPr>
        <w:tab/>
        <w:t xml:space="preserve">No other new </w:t>
      </w:r>
      <w:r w:rsidRPr="00C454D5">
        <w:rPr>
          <w:rFonts w:cs="Arial"/>
          <w:szCs w:val="24"/>
        </w:rPr>
        <w:t>declarations were made.</w:t>
      </w:r>
      <w:r>
        <w:rPr>
          <w:rFonts w:cs="Arial"/>
          <w:szCs w:val="24"/>
        </w:rPr>
        <w:t xml:space="preserve"> </w:t>
      </w:r>
    </w:p>
    <w:p w:rsidR="00B218B9" w:rsidRPr="00B218B9" w:rsidRDefault="00B218B9" w:rsidP="00B218B9">
      <w:pPr>
        <w:spacing w:line="240" w:lineRule="auto"/>
        <w:rPr>
          <w:rFonts w:cs="Arial"/>
          <w:szCs w:val="24"/>
        </w:rPr>
      </w:pPr>
    </w:p>
    <w:p w:rsidR="00B218B9" w:rsidRPr="00B218B9" w:rsidRDefault="00B218B9" w:rsidP="00125423">
      <w:pPr>
        <w:pStyle w:val="Heading3"/>
      </w:pPr>
      <w:bookmarkStart w:id="14" w:name="_Toc94088103"/>
      <w:r w:rsidRPr="00B218B9">
        <w:t>4.</w:t>
      </w:r>
      <w:r w:rsidRPr="00B218B9">
        <w:tab/>
        <w:t>Minutes and correspondence</w:t>
      </w:r>
      <w:bookmarkEnd w:id="14"/>
    </w:p>
    <w:p w:rsidR="00B218B9" w:rsidRPr="00B218B9" w:rsidRDefault="00B218B9" w:rsidP="00B218B9">
      <w:pPr>
        <w:spacing w:line="240" w:lineRule="auto"/>
        <w:rPr>
          <w:rFonts w:cs="Arial"/>
          <w:szCs w:val="24"/>
        </w:rPr>
      </w:pPr>
    </w:p>
    <w:p w:rsidR="00980CDC" w:rsidRDefault="00B218B9" w:rsidP="00980CDC">
      <w:pPr>
        <w:spacing w:line="240" w:lineRule="auto"/>
        <w:ind w:left="720" w:hanging="720"/>
        <w:rPr>
          <w:rFonts w:cs="Arial"/>
          <w:szCs w:val="24"/>
        </w:rPr>
      </w:pPr>
      <w:r w:rsidRPr="00B218B9">
        <w:rPr>
          <w:rFonts w:cs="Arial"/>
          <w:szCs w:val="24"/>
        </w:rPr>
        <w:t>4.1</w:t>
      </w:r>
      <w:r w:rsidRPr="00B218B9">
        <w:rPr>
          <w:rFonts w:cs="Arial"/>
          <w:szCs w:val="24"/>
        </w:rPr>
        <w:tab/>
      </w:r>
      <w:r w:rsidR="00980CDC">
        <w:rPr>
          <w:rFonts w:cs="Arial"/>
          <w:szCs w:val="24"/>
        </w:rPr>
        <w:t>The Board approved t</w:t>
      </w:r>
      <w:r w:rsidR="00980CDC" w:rsidRPr="00C454D5">
        <w:rPr>
          <w:rFonts w:cs="Arial"/>
          <w:szCs w:val="24"/>
        </w:rPr>
        <w:t xml:space="preserve">he minutes of the </w:t>
      </w:r>
      <w:r w:rsidR="00980CDC">
        <w:rPr>
          <w:rFonts w:cs="Arial"/>
          <w:szCs w:val="24"/>
        </w:rPr>
        <w:t>15 September, 97</w:t>
      </w:r>
      <w:r w:rsidR="00980CDC" w:rsidRPr="003F5476">
        <w:rPr>
          <w:rFonts w:cs="Arial"/>
          <w:szCs w:val="24"/>
          <w:vertAlign w:val="superscript"/>
        </w:rPr>
        <w:t>th</w:t>
      </w:r>
      <w:r w:rsidR="00980CDC">
        <w:rPr>
          <w:rFonts w:cs="Arial"/>
          <w:szCs w:val="24"/>
        </w:rPr>
        <w:t xml:space="preserve"> Board meeting, </w:t>
      </w:r>
      <w:r w:rsidR="00980CDC" w:rsidRPr="00C454D5">
        <w:rPr>
          <w:rFonts w:cs="Arial"/>
          <w:szCs w:val="24"/>
        </w:rPr>
        <w:t xml:space="preserve">as </w:t>
      </w:r>
      <w:r w:rsidR="00980CDC">
        <w:rPr>
          <w:rFonts w:cs="Arial"/>
          <w:szCs w:val="24"/>
        </w:rPr>
        <w:t xml:space="preserve">an </w:t>
      </w:r>
      <w:r w:rsidR="00980CDC" w:rsidRPr="00C454D5">
        <w:rPr>
          <w:rFonts w:cs="Arial"/>
          <w:szCs w:val="24"/>
        </w:rPr>
        <w:t>accurate record.</w:t>
      </w:r>
    </w:p>
    <w:p w:rsidR="00B218B9" w:rsidRPr="00B218B9" w:rsidRDefault="00B218B9" w:rsidP="00980CDC">
      <w:pPr>
        <w:spacing w:line="240" w:lineRule="auto"/>
        <w:ind w:left="720" w:hanging="720"/>
        <w:rPr>
          <w:rFonts w:cs="Arial"/>
          <w:szCs w:val="24"/>
        </w:rPr>
      </w:pPr>
    </w:p>
    <w:p w:rsidR="00B218B9" w:rsidRPr="00B218B9" w:rsidRDefault="00B218B9" w:rsidP="00125423">
      <w:pPr>
        <w:pStyle w:val="Heading3"/>
      </w:pPr>
      <w:bookmarkStart w:id="15" w:name="_Toc94088104"/>
      <w:r w:rsidRPr="00B218B9">
        <w:t>5.</w:t>
      </w:r>
      <w:r w:rsidRPr="00B218B9">
        <w:tab/>
        <w:t>Actions arising</w:t>
      </w:r>
      <w:bookmarkEnd w:id="15"/>
    </w:p>
    <w:p w:rsidR="00B218B9" w:rsidRPr="00B218B9" w:rsidRDefault="00B218B9" w:rsidP="00B218B9">
      <w:pPr>
        <w:spacing w:line="240" w:lineRule="auto"/>
        <w:rPr>
          <w:rFonts w:cs="Arial"/>
          <w:szCs w:val="24"/>
        </w:rPr>
      </w:pPr>
    </w:p>
    <w:p w:rsidR="00980CDC" w:rsidRPr="00980CDC" w:rsidRDefault="00B218B9" w:rsidP="00980CDC">
      <w:pPr>
        <w:spacing w:line="240" w:lineRule="auto"/>
        <w:ind w:left="720" w:hanging="720"/>
        <w:rPr>
          <w:rFonts w:cs="Arial"/>
          <w:szCs w:val="24"/>
        </w:rPr>
      </w:pPr>
      <w:r w:rsidRPr="00B218B9">
        <w:rPr>
          <w:rFonts w:cs="Arial"/>
          <w:szCs w:val="24"/>
        </w:rPr>
        <w:t>5.1</w:t>
      </w:r>
      <w:r w:rsidRPr="00B218B9">
        <w:rPr>
          <w:rFonts w:cs="Arial"/>
          <w:szCs w:val="24"/>
        </w:rPr>
        <w:tab/>
      </w:r>
      <w:r w:rsidR="00980CDC" w:rsidRPr="00980CDC">
        <w:rPr>
          <w:rFonts w:cs="Arial"/>
          <w:szCs w:val="24"/>
        </w:rPr>
        <w:t xml:space="preserve">The Board reviewed the Actions Log. </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5.2</w:t>
      </w:r>
      <w:r w:rsidRPr="00980CDC">
        <w:rPr>
          <w:rFonts w:cs="Arial"/>
          <w:szCs w:val="24"/>
        </w:rPr>
        <w:tab/>
        <w:t>In relation to action 98.01/4.4 – Press Summaries; these would be provided to all members by email from the following week.</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5.3</w:t>
      </w:r>
      <w:r w:rsidRPr="00980CDC">
        <w:rPr>
          <w:rFonts w:cs="Arial"/>
          <w:szCs w:val="24"/>
        </w:rPr>
        <w:tab/>
        <w:t>On action 98.01/7.1 – National Human Rights Institution (NHRI) Accreditation; amendments to the Terms of Reference for the Commissioner Working Group on Human Rights Monitoring had been made and would come to the Board for approval.</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5.4</w:t>
      </w:r>
      <w:r w:rsidRPr="00980CDC">
        <w:rPr>
          <w:rFonts w:cs="Arial"/>
          <w:szCs w:val="24"/>
        </w:rPr>
        <w:tab/>
        <w:t xml:space="preserve">The Chairwoman updated the Board on delays to the Commissioner recruitment process. Interviews were planned on 8/9 November, and she would write to the Cabinet Office regarding the process. </w:t>
      </w:r>
      <w:r w:rsidRPr="00980CDC">
        <w:rPr>
          <w:rFonts w:cs="Arial"/>
          <w:b/>
          <w:szCs w:val="24"/>
        </w:rPr>
        <w:t>ACTION: Chief of Staff to coordinate this correspondence.</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5.5</w:t>
      </w:r>
      <w:r w:rsidRPr="00980CDC">
        <w:rPr>
          <w:rFonts w:cs="Arial"/>
          <w:szCs w:val="24"/>
        </w:rPr>
        <w:tab/>
        <w:t xml:space="preserve">The interim Wales Committee Chair noted that the Welsh Government had been advised that the appointment of a Wales Commissioner was imminent. </w:t>
      </w:r>
      <w:r w:rsidRPr="00980CDC">
        <w:rPr>
          <w:rFonts w:cs="Arial"/>
          <w:b/>
          <w:szCs w:val="24"/>
        </w:rPr>
        <w:t>ACTION: Chief Executive Officer to write to Jane Hutt AM to make her aware of the delay to the Wales Commissioner appointment process.</w:t>
      </w:r>
    </w:p>
    <w:p w:rsidR="00980CDC" w:rsidRPr="00980CDC" w:rsidRDefault="00980CDC" w:rsidP="00980CDC">
      <w:pPr>
        <w:spacing w:line="240" w:lineRule="auto"/>
        <w:ind w:left="720" w:hanging="720"/>
        <w:rPr>
          <w:rFonts w:cs="Arial"/>
          <w:szCs w:val="24"/>
        </w:rPr>
      </w:pPr>
    </w:p>
    <w:p w:rsidR="00B218B9" w:rsidRDefault="00980CDC" w:rsidP="00980CDC">
      <w:pPr>
        <w:spacing w:line="240" w:lineRule="auto"/>
        <w:ind w:left="720" w:hanging="720"/>
        <w:rPr>
          <w:rFonts w:cs="Arial"/>
          <w:szCs w:val="24"/>
        </w:rPr>
      </w:pPr>
      <w:r w:rsidRPr="00980CDC">
        <w:rPr>
          <w:rFonts w:cs="Arial"/>
          <w:szCs w:val="24"/>
        </w:rPr>
        <w:t>5.6</w:t>
      </w:r>
      <w:r w:rsidRPr="00980CDC">
        <w:rPr>
          <w:rFonts w:cs="Arial"/>
          <w:szCs w:val="24"/>
        </w:rPr>
        <w:tab/>
        <w:t>The Chief Strategy and Policy Officer advised the Board that we had responded to a letter questioning the Commission’s decision not to publish guidance relating to transgender pupils, reiterating the basis for the decision and informing them that there were no plans to revisit it.</w:t>
      </w:r>
    </w:p>
    <w:p w:rsidR="00980CDC" w:rsidRPr="00B218B9" w:rsidRDefault="00980CDC" w:rsidP="00980CDC">
      <w:pPr>
        <w:spacing w:line="240" w:lineRule="auto"/>
        <w:ind w:left="720" w:hanging="720"/>
        <w:rPr>
          <w:rFonts w:cs="Arial"/>
          <w:szCs w:val="24"/>
        </w:rPr>
      </w:pPr>
    </w:p>
    <w:p w:rsidR="00B218B9" w:rsidRDefault="00B218B9" w:rsidP="00980CDC">
      <w:pPr>
        <w:pStyle w:val="Heading3"/>
        <w:spacing w:line="240" w:lineRule="auto"/>
      </w:pPr>
      <w:bookmarkStart w:id="16" w:name="_Toc94088105"/>
      <w:r w:rsidRPr="00B218B9">
        <w:t>6.</w:t>
      </w:r>
      <w:r w:rsidRPr="00B218B9">
        <w:tab/>
      </w:r>
      <w:r w:rsidR="00980CDC" w:rsidRPr="00980CDC">
        <w:t>Update from P&amp;WC</w:t>
      </w:r>
      <w:bookmarkEnd w:id="16"/>
    </w:p>
    <w:p w:rsidR="00980CDC" w:rsidRPr="00980CDC" w:rsidRDefault="00980CDC" w:rsidP="00980CDC">
      <w:pPr>
        <w:spacing w:line="240" w:lineRule="auto"/>
      </w:pPr>
    </w:p>
    <w:p w:rsidR="00B218B9" w:rsidRDefault="00B218B9" w:rsidP="00980CDC">
      <w:pPr>
        <w:spacing w:line="240" w:lineRule="auto"/>
        <w:ind w:left="720" w:hanging="720"/>
        <w:rPr>
          <w:rFonts w:cs="Arial"/>
          <w:szCs w:val="24"/>
        </w:rPr>
      </w:pPr>
      <w:r w:rsidRPr="00B218B9">
        <w:rPr>
          <w:rFonts w:cs="Arial"/>
          <w:szCs w:val="24"/>
        </w:rPr>
        <w:t>6.1</w:t>
      </w:r>
      <w:r w:rsidRPr="00B218B9">
        <w:rPr>
          <w:rFonts w:cs="Arial"/>
          <w:szCs w:val="24"/>
        </w:rPr>
        <w:tab/>
      </w:r>
      <w:r w:rsidR="00980CDC" w:rsidRPr="00980CDC">
        <w:rPr>
          <w:rFonts w:cs="Arial"/>
          <w:szCs w:val="24"/>
        </w:rPr>
        <w:t>The Chair of the People and Workspace Committee updated the Board on the most recent meeting, which had reviewed: the Commission’s plans for hybrid working; Places for Growth and the implications for the Commission’s office in London; and Commission’s senior structure. The next meeting, in November, would focus on the Transformation Programme.</w:t>
      </w:r>
    </w:p>
    <w:p w:rsidR="00980CDC" w:rsidRPr="00B218B9" w:rsidRDefault="00980CDC" w:rsidP="00980CDC">
      <w:pPr>
        <w:spacing w:line="240" w:lineRule="auto"/>
        <w:ind w:left="720" w:hanging="720"/>
        <w:rPr>
          <w:rFonts w:cs="Arial"/>
          <w:szCs w:val="24"/>
        </w:rPr>
      </w:pPr>
    </w:p>
    <w:p w:rsidR="00B218B9" w:rsidRDefault="00B218B9" w:rsidP="00980CDC">
      <w:pPr>
        <w:pStyle w:val="Heading3"/>
        <w:spacing w:line="240" w:lineRule="auto"/>
      </w:pPr>
      <w:bookmarkStart w:id="17" w:name="_Toc94088106"/>
      <w:r w:rsidRPr="00B218B9">
        <w:t>7.</w:t>
      </w:r>
      <w:r w:rsidRPr="00B218B9">
        <w:tab/>
      </w:r>
      <w:r w:rsidR="00980CDC" w:rsidRPr="00980CDC">
        <w:t>Other Committee and CWG updates</w:t>
      </w:r>
      <w:bookmarkEnd w:id="17"/>
    </w:p>
    <w:p w:rsidR="00980CDC" w:rsidRPr="00980CDC" w:rsidRDefault="00980CDC" w:rsidP="00980CDC">
      <w:pPr>
        <w:spacing w:line="240" w:lineRule="auto"/>
      </w:pPr>
    </w:p>
    <w:p w:rsidR="00980CDC" w:rsidRPr="00980CDC" w:rsidRDefault="00B218B9" w:rsidP="00980CDC">
      <w:pPr>
        <w:spacing w:line="240" w:lineRule="auto"/>
        <w:ind w:left="720" w:hanging="720"/>
        <w:rPr>
          <w:rFonts w:cs="Arial"/>
          <w:szCs w:val="24"/>
        </w:rPr>
      </w:pPr>
      <w:r w:rsidRPr="00B218B9">
        <w:rPr>
          <w:rFonts w:cs="Arial"/>
          <w:szCs w:val="24"/>
        </w:rPr>
        <w:t>7.1</w:t>
      </w:r>
      <w:r w:rsidRPr="00B218B9">
        <w:rPr>
          <w:rFonts w:cs="Arial"/>
          <w:szCs w:val="24"/>
        </w:rPr>
        <w:tab/>
      </w:r>
      <w:r w:rsidR="00980CDC" w:rsidRPr="00980CDC">
        <w:rPr>
          <w:rFonts w:cs="Arial"/>
          <w:szCs w:val="24"/>
        </w:rPr>
        <w:t xml:space="preserve">The Chair of the Commissioner Working Group on Human Rights Monitoring (CWG HRM) advised there had been a meeting of the group in the last week at which the Commission’s re-accreditation plan on being a National Human Rights Institution had been submitted for review. This would be bought to the Board at a later date. </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7.2</w:t>
      </w:r>
      <w:r w:rsidRPr="00980CDC">
        <w:rPr>
          <w:rFonts w:cs="Arial"/>
          <w:szCs w:val="24"/>
        </w:rPr>
        <w:tab/>
        <w:t>Having reviewed the Human Rights tracker, the Working Group had interrogated the areas of regression identified. The Group considered the conclusions to be justified. But it was important that the context, including the impact of the pandemic, should be appropriately communicated when this was made public. Board members would be briefed on what Human Rights reports are monitored and due for publication. ACTION: Board secretariat to provide an update on Human Rights reports for publication at the November Board meeting.</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7.3</w:t>
      </w:r>
      <w:r w:rsidRPr="00980CDC">
        <w:rPr>
          <w:rFonts w:cs="Arial"/>
          <w:szCs w:val="24"/>
        </w:rPr>
        <w:tab/>
        <w:t xml:space="preserve">The Scotland Committee Chair advised of work with stakeholders in Scotland on artificial intelligence, on fairness at work and on young people. Meetings were being sought with the First Minister to take place after COP26. </w:t>
      </w:r>
    </w:p>
    <w:p w:rsidR="00980CDC" w:rsidRPr="00980CDC" w:rsidRDefault="00980CDC" w:rsidP="00980CDC">
      <w:pPr>
        <w:spacing w:line="240" w:lineRule="auto"/>
        <w:ind w:left="720" w:hanging="720"/>
        <w:rPr>
          <w:rFonts w:cs="Arial"/>
          <w:szCs w:val="24"/>
        </w:rPr>
      </w:pPr>
    </w:p>
    <w:p w:rsidR="00B218B9" w:rsidRDefault="00980CDC" w:rsidP="00980CDC">
      <w:pPr>
        <w:spacing w:line="240" w:lineRule="auto"/>
        <w:ind w:left="720" w:hanging="720"/>
        <w:rPr>
          <w:rFonts w:cs="Arial"/>
          <w:szCs w:val="24"/>
        </w:rPr>
      </w:pPr>
      <w:r w:rsidRPr="00980CDC">
        <w:rPr>
          <w:rFonts w:cs="Arial"/>
          <w:szCs w:val="24"/>
        </w:rPr>
        <w:t>7.4</w:t>
      </w:r>
      <w:r w:rsidRPr="00980CDC">
        <w:rPr>
          <w:rFonts w:cs="Arial"/>
          <w:szCs w:val="24"/>
        </w:rPr>
        <w:tab/>
        <w:t>The interim Chair of the Wales Committee informed the Board of a recent meeting with Jane Hutt AM and an invitation to the Royal opening of the Senedd. This demonstrated the esteem in which the Commission is held in Wales, and highlighted the importance of the appointment of a Wales Commissioner.</w:t>
      </w:r>
    </w:p>
    <w:p w:rsidR="00980CDC" w:rsidRPr="00B218B9" w:rsidRDefault="00980CDC" w:rsidP="00980CDC">
      <w:pPr>
        <w:spacing w:line="240" w:lineRule="auto"/>
        <w:ind w:left="720" w:hanging="720"/>
        <w:rPr>
          <w:rFonts w:cs="Arial"/>
          <w:szCs w:val="24"/>
        </w:rPr>
      </w:pPr>
    </w:p>
    <w:p w:rsidR="00B218B9" w:rsidRPr="00B218B9" w:rsidRDefault="00B218B9" w:rsidP="00125423">
      <w:pPr>
        <w:pStyle w:val="Heading3"/>
      </w:pPr>
      <w:bookmarkStart w:id="18" w:name="_Toc94088107"/>
      <w:r w:rsidRPr="00B218B9">
        <w:t>8.</w:t>
      </w:r>
      <w:r w:rsidRPr="00B218B9">
        <w:tab/>
      </w:r>
      <w:r w:rsidR="00980CDC" w:rsidRPr="00980CDC">
        <w:t>Audit and Risk Assurance Committee update</w:t>
      </w:r>
      <w:bookmarkEnd w:id="18"/>
    </w:p>
    <w:p w:rsidR="00B218B9" w:rsidRPr="00B218B9" w:rsidRDefault="00B218B9" w:rsidP="00B218B9">
      <w:pPr>
        <w:spacing w:line="240" w:lineRule="auto"/>
        <w:ind w:left="720" w:hanging="720"/>
        <w:rPr>
          <w:rFonts w:cs="Arial"/>
          <w:szCs w:val="24"/>
        </w:rPr>
      </w:pPr>
    </w:p>
    <w:p w:rsidR="00980CDC" w:rsidRPr="00980CDC" w:rsidRDefault="00B218B9" w:rsidP="00980CDC">
      <w:pPr>
        <w:spacing w:line="240" w:lineRule="auto"/>
        <w:ind w:left="720" w:hanging="720"/>
        <w:rPr>
          <w:rFonts w:cs="Arial"/>
          <w:szCs w:val="24"/>
        </w:rPr>
      </w:pPr>
      <w:r w:rsidRPr="00B218B9">
        <w:rPr>
          <w:rFonts w:cs="Arial"/>
          <w:szCs w:val="24"/>
        </w:rPr>
        <w:t>8.1</w:t>
      </w:r>
      <w:r w:rsidRPr="00B218B9">
        <w:rPr>
          <w:rFonts w:cs="Arial"/>
          <w:szCs w:val="24"/>
        </w:rPr>
        <w:tab/>
      </w:r>
      <w:r w:rsidR="00980CDC" w:rsidRPr="00980CDC">
        <w:rPr>
          <w:rFonts w:cs="Arial"/>
          <w:szCs w:val="24"/>
        </w:rPr>
        <w:t>The Board noted the high level of assurance on information governance provided by the interim Data Protection Officer at its meeting on 7 October.</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8.2</w:t>
      </w:r>
      <w:r w:rsidRPr="00980CDC">
        <w:rPr>
          <w:rFonts w:cs="Arial"/>
          <w:szCs w:val="24"/>
        </w:rPr>
        <w:tab/>
        <w:t>Concerns had been expressed at the risk of an underspend at year end, at the rate of staff attrition and at the relatively few current number of legal cases. Plans were in place to address these issues.</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8.3</w:t>
      </w:r>
      <w:r w:rsidRPr="00980CDC">
        <w:rPr>
          <w:rFonts w:cs="Arial"/>
          <w:szCs w:val="24"/>
        </w:rPr>
        <w:tab/>
        <w:t>The Board noted that the Commission’s approach to risk management would undergo a reset to align with the new Strategic Plan. Meetings were arranged between the incoming ARAC Chair and the Chief Executive to discuss this.</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b/>
          <w:szCs w:val="24"/>
        </w:rPr>
      </w:pPr>
      <w:r w:rsidRPr="00980CDC">
        <w:rPr>
          <w:rFonts w:cs="Arial"/>
          <w:szCs w:val="24"/>
        </w:rPr>
        <w:t>8.4</w:t>
      </w:r>
      <w:r w:rsidRPr="00980CDC">
        <w:rPr>
          <w:rFonts w:cs="Arial"/>
          <w:szCs w:val="24"/>
        </w:rPr>
        <w:tab/>
        <w:t xml:space="preserve">There was concern that the level of interest in the Internal Audit tender had been less than anticipated. There was currently high demand in the market and the Commission’s contract was small. The requirement to have circulation of auditors had an impact too. One option would be to contract the Government Internal Audit Agency, although it might be more prudent to consider a commercial audit firm if there is a conflict with the Commission’s independence. </w:t>
      </w:r>
      <w:r w:rsidRPr="00980CDC">
        <w:rPr>
          <w:rFonts w:cs="Arial"/>
          <w:b/>
          <w:szCs w:val="24"/>
        </w:rPr>
        <w:t>ACTION: Director of Finance, Procurement, Planning, Performance and Governance to review how to secure the necessary internal audit services.</w:t>
      </w:r>
    </w:p>
    <w:p w:rsidR="00B218B9" w:rsidRPr="00980CDC" w:rsidRDefault="00B218B9" w:rsidP="00980CDC">
      <w:pPr>
        <w:spacing w:line="240" w:lineRule="auto"/>
        <w:ind w:left="720" w:hanging="720"/>
        <w:rPr>
          <w:rFonts w:cs="Arial"/>
          <w:b/>
          <w:szCs w:val="24"/>
        </w:rPr>
      </w:pPr>
      <w:r w:rsidRPr="00980CDC">
        <w:rPr>
          <w:rFonts w:cs="Arial"/>
          <w:b/>
          <w:szCs w:val="24"/>
        </w:rPr>
        <w:tab/>
      </w:r>
    </w:p>
    <w:p w:rsidR="00B218B9" w:rsidRPr="00B218B9" w:rsidRDefault="00B218B9" w:rsidP="00125423">
      <w:pPr>
        <w:pStyle w:val="Heading3"/>
      </w:pPr>
      <w:bookmarkStart w:id="19" w:name="_Toc94088108"/>
      <w:r w:rsidRPr="00B218B9">
        <w:t>9.</w:t>
      </w:r>
      <w:r w:rsidRPr="00B218B9">
        <w:tab/>
      </w:r>
      <w:r w:rsidR="00980CDC" w:rsidRPr="00980CDC">
        <w:t>Finance report</w:t>
      </w:r>
      <w:bookmarkEnd w:id="19"/>
    </w:p>
    <w:p w:rsidR="00B218B9" w:rsidRPr="00B218B9" w:rsidRDefault="00B218B9" w:rsidP="00B218B9">
      <w:pPr>
        <w:spacing w:line="240" w:lineRule="auto"/>
        <w:ind w:left="720" w:hanging="720"/>
        <w:rPr>
          <w:rFonts w:cs="Arial"/>
          <w:szCs w:val="24"/>
        </w:rPr>
      </w:pPr>
    </w:p>
    <w:p w:rsidR="00980CDC" w:rsidRPr="00980CDC" w:rsidRDefault="00B218B9" w:rsidP="00980CDC">
      <w:pPr>
        <w:spacing w:line="240" w:lineRule="auto"/>
        <w:ind w:left="720" w:hanging="720"/>
        <w:rPr>
          <w:rFonts w:cs="Arial"/>
          <w:szCs w:val="24"/>
        </w:rPr>
      </w:pPr>
      <w:r w:rsidRPr="00B218B9">
        <w:rPr>
          <w:rFonts w:cs="Arial"/>
          <w:szCs w:val="24"/>
        </w:rPr>
        <w:t>9.1</w:t>
      </w:r>
      <w:r w:rsidRPr="00B218B9">
        <w:rPr>
          <w:rFonts w:cs="Arial"/>
          <w:szCs w:val="24"/>
        </w:rPr>
        <w:tab/>
      </w:r>
      <w:r w:rsidR="00980CDC" w:rsidRPr="00980CDC">
        <w:rPr>
          <w:rFonts w:cs="Arial"/>
          <w:szCs w:val="24"/>
        </w:rPr>
        <w:t>The Director of Finance, Procurement, Planning, Performance and Governance noted that the information in his report was correct at the end of September and that by the end of October, the projected year-end underspend had reduced by approximately £200k. Staff attrition, fewer incoming pieces of legal work and increased income from legal cases were the key factors in the underspend. Plans were in place to increase expenditure by recruiting additional temporary staff, particularly into our legal team to take on race discrimination cases, as well as by training staff, running some team away days, and investing in our London and Cardiff offices.</w:t>
      </w:r>
    </w:p>
    <w:p w:rsidR="00980CDC" w:rsidRPr="00980CDC" w:rsidRDefault="00980CDC" w:rsidP="00980CDC">
      <w:pPr>
        <w:spacing w:line="240" w:lineRule="auto"/>
        <w:ind w:left="720" w:hanging="720"/>
        <w:rPr>
          <w:rFonts w:cs="Arial"/>
          <w:szCs w:val="24"/>
        </w:rPr>
      </w:pPr>
    </w:p>
    <w:p w:rsidR="00B218B9" w:rsidRDefault="00980CDC" w:rsidP="00980CDC">
      <w:pPr>
        <w:spacing w:line="240" w:lineRule="auto"/>
        <w:ind w:left="720" w:hanging="720"/>
        <w:rPr>
          <w:rFonts w:cs="Arial"/>
          <w:szCs w:val="24"/>
        </w:rPr>
      </w:pPr>
      <w:r w:rsidRPr="00980CDC">
        <w:rPr>
          <w:rFonts w:cs="Arial"/>
          <w:szCs w:val="24"/>
        </w:rPr>
        <w:t>9.2</w:t>
      </w:r>
      <w:r w:rsidRPr="00980CDC">
        <w:rPr>
          <w:rFonts w:cs="Arial"/>
          <w:szCs w:val="24"/>
        </w:rPr>
        <w:tab/>
        <w:t>With the agreement of the Cabinet Office, there was potential to convert some revenue to capital expenditure to assist with technology investment.</w:t>
      </w:r>
    </w:p>
    <w:p w:rsidR="00980CDC" w:rsidRPr="00B218B9" w:rsidRDefault="00980CDC" w:rsidP="00980CDC">
      <w:pPr>
        <w:spacing w:line="240" w:lineRule="auto"/>
        <w:ind w:left="720" w:hanging="720"/>
        <w:rPr>
          <w:rFonts w:cs="Arial"/>
          <w:szCs w:val="24"/>
        </w:rPr>
      </w:pPr>
    </w:p>
    <w:p w:rsidR="00B218B9" w:rsidRPr="00B218B9" w:rsidRDefault="00B218B9" w:rsidP="00125423">
      <w:pPr>
        <w:pStyle w:val="Heading3"/>
      </w:pPr>
      <w:bookmarkStart w:id="20" w:name="_Toc94088109"/>
      <w:r w:rsidRPr="00B218B9">
        <w:t>10.</w:t>
      </w:r>
      <w:r w:rsidRPr="00B218B9">
        <w:tab/>
      </w:r>
      <w:r w:rsidR="00980CDC" w:rsidRPr="00980CDC">
        <w:t>Risk Report</w:t>
      </w:r>
      <w:bookmarkEnd w:id="20"/>
    </w:p>
    <w:p w:rsidR="00B218B9" w:rsidRPr="00B218B9" w:rsidRDefault="00B218B9" w:rsidP="00B218B9">
      <w:pPr>
        <w:spacing w:line="240" w:lineRule="auto"/>
        <w:ind w:left="720" w:hanging="720"/>
        <w:rPr>
          <w:rFonts w:cs="Arial"/>
          <w:szCs w:val="24"/>
        </w:rPr>
      </w:pPr>
    </w:p>
    <w:p w:rsidR="00980CDC" w:rsidRPr="00980CDC" w:rsidRDefault="00B218B9" w:rsidP="00980CDC">
      <w:pPr>
        <w:spacing w:line="240" w:lineRule="auto"/>
        <w:ind w:left="720" w:hanging="720"/>
        <w:rPr>
          <w:rFonts w:cs="Arial"/>
          <w:szCs w:val="24"/>
        </w:rPr>
      </w:pPr>
      <w:r w:rsidRPr="00B218B9">
        <w:rPr>
          <w:rFonts w:cs="Arial"/>
          <w:szCs w:val="24"/>
        </w:rPr>
        <w:t>10.1</w:t>
      </w:r>
      <w:r w:rsidRPr="00B218B9">
        <w:rPr>
          <w:rFonts w:cs="Arial"/>
          <w:szCs w:val="24"/>
        </w:rPr>
        <w:tab/>
      </w:r>
      <w:r w:rsidR="00980CDC" w:rsidRPr="00980CDC">
        <w:rPr>
          <w:rFonts w:cs="Arial"/>
          <w:szCs w:val="24"/>
        </w:rPr>
        <w:t>Board members commented on specific risks, including on staff attrition rates, on the need for a clearer articulation of reputational risks to the Commission, and on making the risks less general and more specific. These would be incorporated into future versions of the risk register.</w:t>
      </w:r>
    </w:p>
    <w:p w:rsidR="00980CDC" w:rsidRPr="00980CDC" w:rsidRDefault="00980CDC" w:rsidP="00980CDC">
      <w:pPr>
        <w:spacing w:line="240" w:lineRule="auto"/>
        <w:ind w:left="720" w:hanging="720"/>
        <w:rPr>
          <w:rFonts w:cs="Arial"/>
          <w:szCs w:val="24"/>
        </w:rPr>
      </w:pPr>
    </w:p>
    <w:p w:rsidR="00B218B9" w:rsidRDefault="00980CDC" w:rsidP="00980CDC">
      <w:pPr>
        <w:spacing w:line="240" w:lineRule="auto"/>
        <w:ind w:left="720" w:hanging="720"/>
        <w:rPr>
          <w:rFonts w:cs="Arial"/>
          <w:szCs w:val="24"/>
        </w:rPr>
      </w:pPr>
      <w:r w:rsidRPr="00980CDC">
        <w:rPr>
          <w:rFonts w:cs="Arial"/>
          <w:szCs w:val="24"/>
        </w:rPr>
        <w:t>10.2</w:t>
      </w:r>
      <w:r w:rsidRPr="00980CDC">
        <w:rPr>
          <w:rFonts w:cs="Arial"/>
          <w:szCs w:val="24"/>
        </w:rPr>
        <w:tab/>
        <w:t>There remained concern about the need for stronger media management. This too would be reflected in the risk register.</w:t>
      </w:r>
    </w:p>
    <w:p w:rsidR="00980CDC" w:rsidRDefault="00980CDC" w:rsidP="00980CDC">
      <w:pPr>
        <w:spacing w:line="240" w:lineRule="auto"/>
        <w:rPr>
          <w:rFonts w:cs="Arial"/>
          <w:szCs w:val="24"/>
        </w:rPr>
      </w:pPr>
    </w:p>
    <w:p w:rsidR="00980CDC" w:rsidRDefault="00980CDC" w:rsidP="00763DB9">
      <w:pPr>
        <w:pStyle w:val="Heading3"/>
      </w:pPr>
      <w:bookmarkStart w:id="21" w:name="_Toc94088110"/>
      <w:r>
        <w:t>11.</w:t>
      </w:r>
      <w:r>
        <w:tab/>
      </w:r>
      <w:r w:rsidRPr="00980CDC">
        <w:t>CEO Report</w:t>
      </w:r>
      <w:bookmarkEnd w:id="21"/>
    </w:p>
    <w:p w:rsidR="00980CDC" w:rsidRDefault="00980CDC" w:rsidP="00980CDC">
      <w:pPr>
        <w:spacing w:line="240" w:lineRule="auto"/>
        <w:rPr>
          <w:rFonts w:cs="Arial"/>
          <w:b/>
          <w:szCs w:val="24"/>
        </w:rPr>
      </w:pPr>
    </w:p>
    <w:p w:rsidR="00980CDC" w:rsidRPr="00980CDC" w:rsidRDefault="00980CDC" w:rsidP="00980CDC">
      <w:pPr>
        <w:spacing w:line="240" w:lineRule="auto"/>
        <w:ind w:left="720" w:hanging="720"/>
        <w:rPr>
          <w:rFonts w:cs="Arial"/>
          <w:szCs w:val="24"/>
        </w:rPr>
      </w:pPr>
      <w:r>
        <w:rPr>
          <w:rFonts w:cs="Arial"/>
          <w:szCs w:val="24"/>
        </w:rPr>
        <w:t>11.1</w:t>
      </w:r>
      <w:r>
        <w:rPr>
          <w:rFonts w:cs="Arial"/>
          <w:szCs w:val="24"/>
        </w:rPr>
        <w:tab/>
      </w:r>
      <w:r w:rsidRPr="00980CDC">
        <w:rPr>
          <w:rFonts w:cs="Arial"/>
          <w:szCs w:val="24"/>
        </w:rPr>
        <w:t>The Chief Executive advised that future reports would cover the Commission’s Regulation, Policy and Corporate work.</w:t>
      </w:r>
    </w:p>
    <w:p w:rsidR="00980CDC" w:rsidRPr="00980CDC" w:rsidRDefault="00980CDC" w:rsidP="00980CDC">
      <w:pPr>
        <w:spacing w:line="240" w:lineRule="auto"/>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11.2</w:t>
      </w:r>
      <w:r w:rsidRPr="00980CDC">
        <w:rPr>
          <w:rFonts w:cs="Arial"/>
          <w:szCs w:val="24"/>
        </w:rPr>
        <w:tab/>
        <w:t xml:space="preserve">The Board welcomed the report and its new format. There was discussion about how the Commission could work effectively, within its remit, on the UK government’s agenda to ‘level up’ disadvantaged parts of the country. The </w:t>
      </w:r>
      <w:r w:rsidRPr="00980CDC">
        <w:rPr>
          <w:rFonts w:cs="Arial"/>
          <w:szCs w:val="24"/>
        </w:rPr>
        <w:lastRenderedPageBreak/>
        <w:t>Board also discussed the Commission’s Transformation Programme and welcomed the way it was being streamlined and resourced.</w:t>
      </w:r>
    </w:p>
    <w:p w:rsidR="00980CDC" w:rsidRPr="00980CDC" w:rsidRDefault="00980CDC" w:rsidP="00980CDC">
      <w:pPr>
        <w:spacing w:line="240" w:lineRule="auto"/>
        <w:rPr>
          <w:rFonts w:cs="Arial"/>
          <w:szCs w:val="24"/>
        </w:rPr>
      </w:pPr>
    </w:p>
    <w:p w:rsidR="00980CDC" w:rsidRPr="00980CDC" w:rsidRDefault="00980CDC" w:rsidP="00980CDC">
      <w:pPr>
        <w:spacing w:line="240" w:lineRule="auto"/>
        <w:rPr>
          <w:rFonts w:cs="Arial"/>
          <w:szCs w:val="24"/>
        </w:rPr>
      </w:pPr>
      <w:r w:rsidRPr="00980CDC">
        <w:rPr>
          <w:rFonts w:cs="Arial"/>
          <w:szCs w:val="24"/>
        </w:rPr>
        <w:t>11.3</w:t>
      </w:r>
      <w:r w:rsidRPr="00980CDC">
        <w:rPr>
          <w:rFonts w:cs="Arial"/>
          <w:szCs w:val="24"/>
        </w:rPr>
        <w:tab/>
        <w:t>The Board approved signing a lease for a temporary office in Cardiff.</w:t>
      </w:r>
    </w:p>
    <w:p w:rsidR="00980CDC" w:rsidRPr="00980CDC" w:rsidRDefault="00980CDC" w:rsidP="00980CDC">
      <w:pPr>
        <w:spacing w:line="240" w:lineRule="auto"/>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11.4</w:t>
      </w:r>
      <w:r w:rsidRPr="00980CDC">
        <w:rPr>
          <w:rFonts w:cs="Arial"/>
          <w:szCs w:val="24"/>
        </w:rPr>
        <w:tab/>
        <w:t>The Chair’s letter to The Times on the treatment of Professor Kathleen Stock was welcomed. The Board were pleased to note that a response from the University had been received, though the university did not require any support from the Commission, and simply asked for permission to share our letter with other interested parties.</w:t>
      </w:r>
    </w:p>
    <w:p w:rsidR="00980CDC" w:rsidRDefault="00980CDC" w:rsidP="00980CDC">
      <w:pPr>
        <w:spacing w:line="240" w:lineRule="auto"/>
        <w:ind w:left="720" w:hanging="720"/>
        <w:rPr>
          <w:rFonts w:cs="Arial"/>
          <w:szCs w:val="24"/>
        </w:rPr>
      </w:pPr>
    </w:p>
    <w:p w:rsidR="00980CDC" w:rsidRDefault="00980CDC" w:rsidP="00763DB9">
      <w:pPr>
        <w:pStyle w:val="Heading3"/>
      </w:pPr>
      <w:bookmarkStart w:id="22" w:name="_Toc94088111"/>
      <w:r>
        <w:t>12.</w:t>
      </w:r>
      <w:r>
        <w:tab/>
      </w:r>
      <w:r w:rsidRPr="00980CDC">
        <w:t>Performance report</w:t>
      </w:r>
      <w:bookmarkEnd w:id="22"/>
    </w:p>
    <w:p w:rsidR="00980CDC" w:rsidRDefault="00980CDC" w:rsidP="00980CDC">
      <w:pPr>
        <w:spacing w:line="240" w:lineRule="auto"/>
        <w:ind w:left="720" w:hanging="720"/>
        <w:rPr>
          <w:rFonts w:cs="Arial"/>
          <w:b/>
          <w:szCs w:val="24"/>
        </w:rPr>
      </w:pPr>
    </w:p>
    <w:p w:rsidR="00980CDC" w:rsidRPr="00980CDC" w:rsidRDefault="00980CDC" w:rsidP="00980CDC">
      <w:pPr>
        <w:spacing w:line="240" w:lineRule="auto"/>
        <w:ind w:left="720" w:hanging="720"/>
        <w:rPr>
          <w:rFonts w:cs="Arial"/>
          <w:szCs w:val="24"/>
        </w:rPr>
      </w:pPr>
      <w:r w:rsidRPr="00980CDC">
        <w:rPr>
          <w:rFonts w:cs="Arial"/>
          <w:szCs w:val="24"/>
        </w:rPr>
        <w:t>12.1</w:t>
      </w:r>
      <w:r w:rsidRPr="00980CDC">
        <w:rPr>
          <w:rFonts w:cs="Arial"/>
          <w:szCs w:val="24"/>
        </w:rPr>
        <w:tab/>
        <w:t>The Director of Finance, Procurement, Planning, Performance and Governance introduced the report and advised that further improvements to the format of the report were in hand.</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12.2</w:t>
      </w:r>
      <w:r w:rsidRPr="00980CDC">
        <w:rPr>
          <w:rFonts w:cs="Arial"/>
          <w:szCs w:val="24"/>
        </w:rPr>
        <w:tab/>
        <w:t>The Board were pleased to note that 92 percent of activities were on track, with delays to some work in Wales due to staffing shortages. The inquiry into low-paid ethnic minority workers in health and social care was likely to be published in December, subject to Board agreement.</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12.3</w:t>
      </w:r>
      <w:r w:rsidRPr="00980CDC">
        <w:rPr>
          <w:rFonts w:cs="Arial"/>
          <w:szCs w:val="24"/>
        </w:rPr>
        <w:tab/>
        <w:t>Board members raised some specific queries, including on the likely year-end costs of our litigation work, on comparisons between the Commission’s staff departures and those of other organisations, and on the numbers of temporary staff or consultants at the Commission. The Board was pleased that there would shortly be a targeted opportunity to listen to views from staff on a range of issues, including through the annual staff survey.</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12.4</w:t>
      </w:r>
      <w:r w:rsidRPr="00980CDC">
        <w:rPr>
          <w:rFonts w:cs="Arial"/>
          <w:szCs w:val="24"/>
        </w:rPr>
        <w:tab/>
        <w:t xml:space="preserve">The Chair asked how much work the Commission did for Select Committees. </w:t>
      </w:r>
      <w:r w:rsidRPr="00980CDC">
        <w:rPr>
          <w:rFonts w:cs="Arial"/>
          <w:b/>
          <w:szCs w:val="24"/>
        </w:rPr>
        <w:t>ACTION: Director Finance, Procurement, Planning, Performance and Governance to review and report back.</w:t>
      </w:r>
    </w:p>
    <w:p w:rsidR="00980CDC" w:rsidRPr="00980CDC" w:rsidRDefault="00980CDC" w:rsidP="00980CDC">
      <w:pPr>
        <w:spacing w:line="240" w:lineRule="auto"/>
        <w:ind w:left="720" w:hanging="720"/>
        <w:rPr>
          <w:rFonts w:cs="Arial"/>
          <w:szCs w:val="24"/>
        </w:rPr>
      </w:pPr>
    </w:p>
    <w:p w:rsidR="00980CDC" w:rsidRDefault="00980CDC" w:rsidP="00980CDC">
      <w:pPr>
        <w:spacing w:line="240" w:lineRule="auto"/>
        <w:ind w:left="720" w:hanging="720"/>
        <w:rPr>
          <w:rFonts w:cs="Arial"/>
          <w:b/>
          <w:szCs w:val="24"/>
        </w:rPr>
      </w:pPr>
      <w:r w:rsidRPr="00980CDC">
        <w:rPr>
          <w:rFonts w:cs="Arial"/>
          <w:szCs w:val="24"/>
        </w:rPr>
        <w:t>12.5</w:t>
      </w:r>
      <w:r w:rsidRPr="00980CDC">
        <w:rPr>
          <w:rFonts w:cs="Arial"/>
          <w:szCs w:val="24"/>
        </w:rPr>
        <w:tab/>
        <w:t xml:space="preserve">Board members requested details of success measures for communications and stakeholder engagement, potentially including speed of response to breaking news and the take up of our public surveys. </w:t>
      </w:r>
      <w:r w:rsidRPr="00980CDC">
        <w:rPr>
          <w:rFonts w:cs="Arial"/>
          <w:b/>
          <w:szCs w:val="24"/>
        </w:rPr>
        <w:t>ACTION: Chief Operating Officer to report back to the Board following the review of the communications function.</w:t>
      </w:r>
    </w:p>
    <w:p w:rsidR="00980CDC" w:rsidRDefault="00980CDC" w:rsidP="00763DB9">
      <w:pPr>
        <w:spacing w:line="240" w:lineRule="auto"/>
        <w:rPr>
          <w:rFonts w:cs="Arial"/>
          <w:szCs w:val="24"/>
        </w:rPr>
      </w:pPr>
    </w:p>
    <w:p w:rsidR="00980CDC" w:rsidRDefault="00980CDC" w:rsidP="00763DB9">
      <w:pPr>
        <w:pStyle w:val="Heading3"/>
      </w:pPr>
      <w:bookmarkStart w:id="23" w:name="_Toc94088112"/>
      <w:r>
        <w:t>13.</w:t>
      </w:r>
      <w:r>
        <w:tab/>
      </w:r>
      <w:r w:rsidRPr="00980CDC">
        <w:t>Board Governance processes</w:t>
      </w:r>
      <w:bookmarkEnd w:id="23"/>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b/>
          <w:szCs w:val="24"/>
        </w:rPr>
      </w:pPr>
      <w:r w:rsidRPr="00980CDC">
        <w:rPr>
          <w:rFonts w:cs="Arial"/>
          <w:szCs w:val="24"/>
        </w:rPr>
        <w:t>13.1</w:t>
      </w:r>
      <w:r w:rsidRPr="00980CDC">
        <w:rPr>
          <w:rFonts w:cs="Arial"/>
          <w:szCs w:val="24"/>
        </w:rPr>
        <w:tab/>
        <w:t xml:space="preserve">The Chief of Staff introduced his paper. The Board welcomed the focus on good governance and asked that additional time for Committee reports be allowed at future Board meetings, and that the list of Committee membership should be updated to include a new Board member on the Commissioner working group on Is Britain Fairer, and to specify the detailed roles of the Scotland and Wales Committees. </w:t>
      </w:r>
      <w:r w:rsidRPr="00980CDC">
        <w:rPr>
          <w:rFonts w:cs="Arial"/>
          <w:b/>
          <w:szCs w:val="24"/>
        </w:rPr>
        <w:t>ACTION: Chief of Staff to update the annex to reflect the points raised.</w:t>
      </w:r>
    </w:p>
    <w:p w:rsidR="00980CDC" w:rsidRPr="00980CDC" w:rsidRDefault="00980CDC" w:rsidP="00980CDC">
      <w:pPr>
        <w:spacing w:line="240" w:lineRule="auto"/>
        <w:ind w:left="720" w:hanging="720"/>
        <w:rPr>
          <w:rFonts w:cs="Arial"/>
          <w:szCs w:val="24"/>
        </w:rPr>
      </w:pPr>
    </w:p>
    <w:p w:rsidR="00980CDC" w:rsidRDefault="00980CDC" w:rsidP="00980CDC">
      <w:pPr>
        <w:spacing w:line="240" w:lineRule="auto"/>
        <w:ind w:left="720" w:hanging="720"/>
        <w:rPr>
          <w:rFonts w:cs="Arial"/>
          <w:szCs w:val="24"/>
        </w:rPr>
      </w:pPr>
      <w:r w:rsidRPr="00980CDC">
        <w:rPr>
          <w:rFonts w:cs="Arial"/>
          <w:szCs w:val="24"/>
        </w:rPr>
        <w:lastRenderedPageBreak/>
        <w:t>13.2</w:t>
      </w:r>
      <w:r w:rsidRPr="00980CDC">
        <w:rPr>
          <w:rFonts w:cs="Arial"/>
          <w:szCs w:val="24"/>
        </w:rPr>
        <w:tab/>
        <w:t>The Board also asked that the most recent minutes from Committees should come to the Board and be discussed, and not just on an exceptional basis. The Board should also review key risks bi-annually and that, between these discussions, Committee Chairs should bring any key risks or concerns to the Board. There should also be scope for the Board to meet outside the normal meeting cycle if urgent issues arise.</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szCs w:val="24"/>
        </w:rPr>
      </w:pPr>
      <w:r w:rsidRPr="00980CDC">
        <w:rPr>
          <w:rFonts w:cs="Arial"/>
          <w:szCs w:val="24"/>
        </w:rPr>
        <w:t>13.3</w:t>
      </w:r>
      <w:r w:rsidRPr="00980CDC">
        <w:rPr>
          <w:rFonts w:cs="Arial"/>
          <w:szCs w:val="24"/>
        </w:rPr>
        <w:tab/>
        <w:t xml:space="preserve">The Chair asked that Committee minutes are shared with the Board promptly after meetings. </w:t>
      </w:r>
      <w:r w:rsidRPr="00980CDC">
        <w:rPr>
          <w:rFonts w:cs="Arial"/>
          <w:b/>
          <w:szCs w:val="24"/>
        </w:rPr>
        <w:t>ACTION: Principal Planning, Performance and Governance to implement.</w:t>
      </w:r>
    </w:p>
    <w:p w:rsidR="00980CDC" w:rsidRPr="00980CDC" w:rsidRDefault="00980CDC" w:rsidP="00980CDC">
      <w:pPr>
        <w:spacing w:line="240" w:lineRule="auto"/>
        <w:ind w:left="720" w:hanging="720"/>
        <w:rPr>
          <w:rFonts w:cs="Arial"/>
          <w:szCs w:val="24"/>
        </w:rPr>
      </w:pPr>
    </w:p>
    <w:p w:rsidR="00980CDC" w:rsidRPr="00980CDC" w:rsidRDefault="00980CDC" w:rsidP="00980CDC">
      <w:pPr>
        <w:spacing w:line="240" w:lineRule="auto"/>
        <w:ind w:left="720" w:hanging="720"/>
        <w:rPr>
          <w:rFonts w:cs="Arial"/>
          <w:b/>
          <w:szCs w:val="24"/>
        </w:rPr>
      </w:pPr>
      <w:r w:rsidRPr="00980CDC">
        <w:rPr>
          <w:rFonts w:cs="Arial"/>
          <w:szCs w:val="24"/>
        </w:rPr>
        <w:t>13.4</w:t>
      </w:r>
      <w:r w:rsidRPr="00980CDC">
        <w:rPr>
          <w:rFonts w:cs="Arial"/>
          <w:szCs w:val="24"/>
        </w:rPr>
        <w:tab/>
        <w:t xml:space="preserve">The Chair also determined that there should be a six-month review on the processes detailed in this paper. </w:t>
      </w:r>
      <w:r w:rsidRPr="00980CDC">
        <w:rPr>
          <w:rFonts w:cs="Arial"/>
          <w:b/>
          <w:szCs w:val="24"/>
        </w:rPr>
        <w:t>ACTION: Board secretary to add for discussion in April 2022.</w:t>
      </w:r>
    </w:p>
    <w:p w:rsidR="00980CDC" w:rsidRPr="00B218B9" w:rsidRDefault="00980CDC" w:rsidP="00980CDC">
      <w:pPr>
        <w:spacing w:line="240" w:lineRule="auto"/>
        <w:rPr>
          <w:rFonts w:cs="Arial"/>
          <w:bCs/>
          <w:szCs w:val="24"/>
        </w:rPr>
      </w:pPr>
    </w:p>
    <w:p w:rsidR="00B218B9" w:rsidRPr="00763DB9" w:rsidRDefault="00B218B9" w:rsidP="00763DB9">
      <w:pPr>
        <w:pStyle w:val="Heading3"/>
      </w:pPr>
      <w:bookmarkStart w:id="24" w:name="_Toc94088113"/>
      <w:r w:rsidRPr="00763DB9">
        <w:t>1</w:t>
      </w:r>
      <w:r w:rsidR="00980CDC" w:rsidRPr="00763DB9">
        <w:t>4</w:t>
      </w:r>
      <w:r w:rsidRPr="00763DB9">
        <w:t>.</w:t>
      </w:r>
      <w:r w:rsidRPr="00763DB9">
        <w:tab/>
        <w:t>Any other business</w:t>
      </w:r>
      <w:bookmarkEnd w:id="24"/>
    </w:p>
    <w:p w:rsidR="00B218B9" w:rsidRPr="00B218B9" w:rsidRDefault="00B218B9" w:rsidP="00B218B9">
      <w:pPr>
        <w:keepNext/>
        <w:keepLines/>
        <w:spacing w:line="240" w:lineRule="auto"/>
        <w:outlineLvl w:val="0"/>
        <w:rPr>
          <w:rFonts w:eastAsia="Times New Roman" w:cs="Arial"/>
          <w:b/>
          <w:bCs/>
          <w:szCs w:val="24"/>
        </w:rPr>
      </w:pPr>
    </w:p>
    <w:p w:rsidR="00980CDC" w:rsidRPr="00980CDC" w:rsidRDefault="00980CDC" w:rsidP="00980CDC">
      <w:pPr>
        <w:spacing w:line="240" w:lineRule="auto"/>
        <w:ind w:left="720" w:hanging="720"/>
        <w:rPr>
          <w:rFonts w:cs="Arial"/>
          <w:bCs/>
          <w:szCs w:val="24"/>
        </w:rPr>
      </w:pPr>
      <w:r>
        <w:rPr>
          <w:rFonts w:cs="Arial"/>
          <w:bCs/>
          <w:szCs w:val="24"/>
        </w:rPr>
        <w:t>14</w:t>
      </w:r>
      <w:r w:rsidR="00B218B9" w:rsidRPr="00B218B9">
        <w:rPr>
          <w:rFonts w:cs="Arial"/>
          <w:bCs/>
          <w:szCs w:val="24"/>
        </w:rPr>
        <w:t>.1</w:t>
      </w:r>
      <w:r w:rsidRPr="00980CDC">
        <w:t xml:space="preserve"> </w:t>
      </w:r>
      <w:r>
        <w:tab/>
      </w:r>
      <w:r w:rsidRPr="00980CDC">
        <w:rPr>
          <w:rFonts w:cs="Arial"/>
          <w:bCs/>
          <w:szCs w:val="24"/>
        </w:rPr>
        <w:t>The Chair encouraged Board members to attend a presentation by ‘More in Common’ that was being arranged by Officers.</w:t>
      </w:r>
    </w:p>
    <w:p w:rsidR="00980CDC" w:rsidRPr="00980CDC" w:rsidRDefault="00980CDC" w:rsidP="00980CDC">
      <w:pPr>
        <w:spacing w:line="240" w:lineRule="auto"/>
        <w:ind w:left="720" w:hanging="720"/>
        <w:rPr>
          <w:rFonts w:cs="Arial"/>
          <w:bCs/>
          <w:szCs w:val="24"/>
        </w:rPr>
      </w:pPr>
    </w:p>
    <w:p w:rsidR="00980CDC" w:rsidRPr="00980CDC" w:rsidRDefault="00980CDC" w:rsidP="00980CDC">
      <w:pPr>
        <w:spacing w:line="240" w:lineRule="auto"/>
        <w:ind w:left="720" w:hanging="720"/>
        <w:rPr>
          <w:rFonts w:cs="Arial"/>
          <w:bCs/>
          <w:szCs w:val="24"/>
        </w:rPr>
      </w:pPr>
      <w:r w:rsidRPr="00980CDC">
        <w:rPr>
          <w:rFonts w:cs="Arial"/>
          <w:bCs/>
          <w:szCs w:val="24"/>
        </w:rPr>
        <w:t>14.2</w:t>
      </w:r>
      <w:r w:rsidRPr="00980CDC">
        <w:rPr>
          <w:rFonts w:cs="Arial"/>
          <w:bCs/>
          <w:szCs w:val="24"/>
        </w:rPr>
        <w:tab/>
        <w:t>In response to a question, Board members were assured that litigation issues on racial bias and facial recognition technology were areas of focus in the new Strategic Plan.</w:t>
      </w:r>
    </w:p>
    <w:p w:rsidR="00980CDC" w:rsidRPr="00980CDC" w:rsidRDefault="00980CDC" w:rsidP="00980CDC">
      <w:pPr>
        <w:spacing w:line="240" w:lineRule="auto"/>
        <w:ind w:left="720" w:hanging="720"/>
        <w:rPr>
          <w:rFonts w:cs="Arial"/>
          <w:bCs/>
          <w:szCs w:val="24"/>
        </w:rPr>
      </w:pPr>
    </w:p>
    <w:p w:rsidR="00534703" w:rsidRPr="00DD3D0F" w:rsidRDefault="00980CDC" w:rsidP="00980CDC">
      <w:pPr>
        <w:spacing w:line="240" w:lineRule="auto"/>
        <w:ind w:left="720" w:hanging="720"/>
        <w:rPr>
          <w:rFonts w:cs="Arial"/>
          <w:noProof/>
          <w:szCs w:val="24"/>
          <w:lang w:eastAsia="en-GB"/>
        </w:rPr>
      </w:pPr>
      <w:r w:rsidRPr="00980CDC">
        <w:rPr>
          <w:rFonts w:cs="Arial"/>
          <w:bCs/>
          <w:szCs w:val="24"/>
        </w:rPr>
        <w:t>14.3</w:t>
      </w:r>
      <w:r w:rsidRPr="00980CDC">
        <w:rPr>
          <w:rFonts w:cs="Arial"/>
          <w:bCs/>
          <w:szCs w:val="24"/>
        </w:rPr>
        <w:tab/>
        <w:t>With no further business, the Chair advised members that the 99th Board meeting would take place over two days, 23 November 2021, which would be virtual, and 1 December 2021, which would be in person.</w:t>
      </w:r>
    </w:p>
    <w:p w:rsidR="00005749" w:rsidRPr="00DD3D0F" w:rsidRDefault="00005749" w:rsidP="00DD3D0F">
      <w:pPr>
        <w:rPr>
          <w:bCs/>
        </w:rPr>
      </w:pPr>
      <w:bookmarkStart w:id="25" w:name="_GoBack"/>
      <w:bookmarkEnd w:id="5"/>
      <w:bookmarkEnd w:id="25"/>
    </w:p>
    <w:sectPr w:rsidR="00005749" w:rsidRPr="00DD3D0F" w:rsidSect="00F9517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08" w:rsidRDefault="00242308">
      <w:pPr>
        <w:spacing w:line="240" w:lineRule="auto"/>
      </w:pPr>
      <w:r>
        <w:separator/>
      </w:r>
    </w:p>
  </w:endnote>
  <w:endnote w:type="continuationSeparator" w:id="0">
    <w:p w:rsidR="00242308" w:rsidRDefault="00242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Pr="00A753C4" w:rsidRDefault="005101DA">
    <w:pPr>
      <w:jc w:val="center"/>
    </w:pPr>
  </w:p>
  <w:p w:rsidR="005101DA" w:rsidRDefault="005101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1499"/>
      <w:docPartObj>
        <w:docPartGallery w:val="Page Numbers (Bottom of Page)"/>
        <w:docPartUnique/>
      </w:docPartObj>
    </w:sdtPr>
    <w:sdtEndPr>
      <w:rPr>
        <w:noProof/>
      </w:rPr>
    </w:sdtEndPr>
    <w:sdtContent>
      <w:p w:rsidR="00F95175" w:rsidRDefault="00F95175">
        <w:pPr>
          <w:pStyle w:val="Footer"/>
          <w:jc w:val="right"/>
        </w:pPr>
        <w:r w:rsidRPr="00F95175">
          <w:rPr>
            <w:rFonts w:ascii="Arial" w:hAnsi="Arial" w:cs="Arial"/>
            <w:sz w:val="24"/>
            <w:szCs w:val="24"/>
          </w:rPr>
          <w:fldChar w:fldCharType="begin"/>
        </w:r>
        <w:r w:rsidRPr="00F95175">
          <w:rPr>
            <w:rFonts w:ascii="Arial" w:hAnsi="Arial" w:cs="Arial"/>
            <w:sz w:val="24"/>
            <w:szCs w:val="24"/>
          </w:rPr>
          <w:instrText xml:space="preserve"> PAGE   \* MERGEFORMAT </w:instrText>
        </w:r>
        <w:r w:rsidRPr="00F95175">
          <w:rPr>
            <w:rFonts w:ascii="Arial" w:hAnsi="Arial" w:cs="Arial"/>
            <w:sz w:val="24"/>
            <w:szCs w:val="24"/>
          </w:rPr>
          <w:fldChar w:fldCharType="separate"/>
        </w:r>
        <w:r w:rsidR="00763DB9">
          <w:rPr>
            <w:rFonts w:ascii="Arial" w:hAnsi="Arial" w:cs="Arial"/>
            <w:noProof/>
            <w:sz w:val="24"/>
            <w:szCs w:val="24"/>
          </w:rPr>
          <w:t>8</w:t>
        </w:r>
        <w:r w:rsidRPr="00F95175">
          <w:rPr>
            <w:rFonts w:ascii="Arial" w:hAnsi="Arial" w:cs="Arial"/>
            <w:noProof/>
            <w:sz w:val="24"/>
            <w:szCs w:val="24"/>
          </w:rPr>
          <w:fldChar w:fldCharType="end"/>
        </w:r>
      </w:p>
    </w:sdtContent>
  </w:sdt>
  <w:p w:rsidR="0027696D" w:rsidRDefault="0027696D" w:rsidP="0027696D">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75759"/>
      <w:docPartObj>
        <w:docPartGallery w:val="Page Numbers (Bottom of Page)"/>
        <w:docPartUnique/>
      </w:docPartObj>
    </w:sdtPr>
    <w:sdtEndPr>
      <w:rPr>
        <w:rFonts w:ascii="Arial" w:hAnsi="Arial" w:cs="Arial"/>
        <w:noProof/>
        <w:sz w:val="24"/>
        <w:szCs w:val="24"/>
      </w:rPr>
    </w:sdtEndPr>
    <w:sdtContent>
      <w:p w:rsidR="00F95175" w:rsidRPr="00F95175" w:rsidRDefault="00F95175">
        <w:pPr>
          <w:pStyle w:val="Footer"/>
          <w:jc w:val="right"/>
          <w:rPr>
            <w:rFonts w:ascii="Arial" w:hAnsi="Arial" w:cs="Arial"/>
            <w:sz w:val="24"/>
            <w:szCs w:val="24"/>
          </w:rPr>
        </w:pPr>
        <w:r w:rsidRPr="00F95175">
          <w:rPr>
            <w:rFonts w:ascii="Arial" w:hAnsi="Arial" w:cs="Arial"/>
            <w:sz w:val="24"/>
            <w:szCs w:val="24"/>
          </w:rPr>
          <w:fldChar w:fldCharType="begin"/>
        </w:r>
        <w:r w:rsidRPr="00F95175">
          <w:rPr>
            <w:rFonts w:ascii="Arial" w:hAnsi="Arial" w:cs="Arial"/>
            <w:sz w:val="24"/>
            <w:szCs w:val="24"/>
          </w:rPr>
          <w:instrText xml:space="preserve"> PAGE   \* MERGEFORMAT </w:instrText>
        </w:r>
        <w:r w:rsidRPr="00F95175">
          <w:rPr>
            <w:rFonts w:ascii="Arial" w:hAnsi="Arial" w:cs="Arial"/>
            <w:sz w:val="24"/>
            <w:szCs w:val="24"/>
          </w:rPr>
          <w:fldChar w:fldCharType="separate"/>
        </w:r>
        <w:r w:rsidR="00763DB9">
          <w:rPr>
            <w:rFonts w:ascii="Arial" w:hAnsi="Arial" w:cs="Arial"/>
            <w:noProof/>
            <w:sz w:val="24"/>
            <w:szCs w:val="24"/>
          </w:rPr>
          <w:t>1</w:t>
        </w:r>
        <w:r w:rsidRPr="00F95175">
          <w:rPr>
            <w:rFonts w:ascii="Arial" w:hAnsi="Arial" w:cs="Arial"/>
            <w:noProof/>
            <w:sz w:val="24"/>
            <w:szCs w:val="24"/>
          </w:rPr>
          <w:fldChar w:fldCharType="end"/>
        </w:r>
      </w:p>
    </w:sdtContent>
  </w:sdt>
  <w:p w:rsidR="00762AAD" w:rsidRDefault="00762A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08" w:rsidRDefault="00242308">
      <w:pPr>
        <w:spacing w:line="240" w:lineRule="auto"/>
      </w:pPr>
      <w:r>
        <w:separator/>
      </w:r>
    </w:p>
  </w:footnote>
  <w:footnote w:type="continuationSeparator" w:id="0">
    <w:p w:rsidR="00242308" w:rsidRDefault="002423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Default="005101DA" w:rsidP="00670143">
    <w:pPr>
      <w:pStyle w:val="Header"/>
      <w:spacing w:line="240" w:lineRule="auto"/>
      <w:rPr>
        <w:sz w:val="16"/>
        <w:szCs w:val="16"/>
      </w:rPr>
    </w:pPr>
  </w:p>
  <w:p w:rsidR="005101DA" w:rsidRDefault="005101DA" w:rsidP="00670143">
    <w:pPr>
      <w:pStyle w:val="Header"/>
      <w:spacing w:line="240" w:lineRule="auto"/>
      <w:rPr>
        <w:sz w:val="16"/>
        <w:szCs w:val="16"/>
      </w:rPr>
    </w:pPr>
  </w:p>
  <w:p w:rsidR="005101DA" w:rsidRPr="00063FCE" w:rsidRDefault="005101DA" w:rsidP="00670143">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616" w:rsidRPr="00B33616" w:rsidRDefault="00B33616" w:rsidP="00B33616">
    <w:pPr>
      <w:pStyle w:val="Header"/>
      <w:jc w:val="right"/>
      <w:rPr>
        <w:color w:val="0000FF"/>
        <w:sz w:val="16"/>
        <w:szCs w:val="16"/>
        <w:u w:val="single"/>
      </w:rPr>
    </w:pPr>
  </w:p>
  <w:p w:rsidR="002C1949" w:rsidRDefault="002C1949">
    <w:pPr>
      <w:pStyle w:val="Header"/>
    </w:pPr>
  </w:p>
  <w:p w:rsidR="00B33616" w:rsidRDefault="00B33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96" w:rsidRDefault="00011932" w:rsidP="00EB0C96">
    <w:pPr>
      <w:pStyle w:val="Header"/>
      <w:jc w:val="right"/>
    </w:pPr>
    <w:r>
      <w:rPr>
        <w:noProof/>
        <w:lang w:eastAsia="en-GB"/>
      </w:rPr>
      <w:drawing>
        <wp:inline distT="0" distB="0" distL="0" distR="0" wp14:anchorId="54B04483" wp14:editId="21C1B9D4">
          <wp:extent cx="2214562" cy="918845"/>
          <wp:effectExtent l="0" t="0" r="0" b="0"/>
          <wp:docPr id="1" name="Picture 1"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rsidR="00534703" w:rsidRDefault="00534703" w:rsidP="00EB0C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000453"/>
    <w:multiLevelType w:val="hybridMultilevel"/>
    <w:tmpl w:val="2B501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12"/>
  </w:num>
  <w:num w:numId="5">
    <w:abstractNumId w:val="7"/>
  </w:num>
  <w:num w:numId="6">
    <w:abstractNumId w:val="3"/>
  </w:num>
  <w:num w:numId="7">
    <w:abstractNumId w:val="6"/>
  </w:num>
  <w:num w:numId="8">
    <w:abstractNumId w:val="10"/>
  </w:num>
  <w:num w:numId="9">
    <w:abstractNumId w:val="13"/>
  </w:num>
  <w:num w:numId="10">
    <w:abstractNumId w:val="4"/>
  </w:num>
  <w:num w:numId="11">
    <w:abstractNumId w:val="15"/>
  </w:num>
  <w:num w:numId="12">
    <w:abstractNumId w:val="11"/>
  </w:num>
  <w:num w:numId="13">
    <w:abstractNumId w:val="2"/>
  </w:num>
  <w:num w:numId="14">
    <w:abstractNumId w:val="5"/>
  </w:num>
  <w:num w:numId="15">
    <w:abstractNumId w:val="0"/>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42"/>
    <w:rsid w:val="000007EE"/>
    <w:rsid w:val="00005749"/>
    <w:rsid w:val="00011932"/>
    <w:rsid w:val="00012B23"/>
    <w:rsid w:val="00037CE7"/>
    <w:rsid w:val="000474E1"/>
    <w:rsid w:val="000775A5"/>
    <w:rsid w:val="0009598B"/>
    <w:rsid w:val="000D2075"/>
    <w:rsid w:val="000F5E3C"/>
    <w:rsid w:val="0012060F"/>
    <w:rsid w:val="00123FB2"/>
    <w:rsid w:val="00125423"/>
    <w:rsid w:val="0012613C"/>
    <w:rsid w:val="00142A0B"/>
    <w:rsid w:val="001A36C8"/>
    <w:rsid w:val="001C19CF"/>
    <w:rsid w:val="001D7828"/>
    <w:rsid w:val="001E45CD"/>
    <w:rsid w:val="00200263"/>
    <w:rsid w:val="00203337"/>
    <w:rsid w:val="00207576"/>
    <w:rsid w:val="002114A1"/>
    <w:rsid w:val="00226C42"/>
    <w:rsid w:val="00234C2D"/>
    <w:rsid w:val="00242308"/>
    <w:rsid w:val="00254809"/>
    <w:rsid w:val="00261700"/>
    <w:rsid w:val="0026226F"/>
    <w:rsid w:val="0027696D"/>
    <w:rsid w:val="002954B0"/>
    <w:rsid w:val="002962C4"/>
    <w:rsid w:val="00296E9E"/>
    <w:rsid w:val="002C1949"/>
    <w:rsid w:val="002C619C"/>
    <w:rsid w:val="0032599E"/>
    <w:rsid w:val="00327D38"/>
    <w:rsid w:val="00335708"/>
    <w:rsid w:val="00375E7E"/>
    <w:rsid w:val="003B7CE8"/>
    <w:rsid w:val="003C36A7"/>
    <w:rsid w:val="003D41BA"/>
    <w:rsid w:val="00407DEB"/>
    <w:rsid w:val="004211D5"/>
    <w:rsid w:val="0043243E"/>
    <w:rsid w:val="00484AAE"/>
    <w:rsid w:val="00494127"/>
    <w:rsid w:val="004B0BB6"/>
    <w:rsid w:val="004D70D7"/>
    <w:rsid w:val="004F5A86"/>
    <w:rsid w:val="005101DA"/>
    <w:rsid w:val="0051471D"/>
    <w:rsid w:val="00522D8D"/>
    <w:rsid w:val="00534703"/>
    <w:rsid w:val="00554086"/>
    <w:rsid w:val="00580D4D"/>
    <w:rsid w:val="00581881"/>
    <w:rsid w:val="005A6496"/>
    <w:rsid w:val="005F633E"/>
    <w:rsid w:val="00670143"/>
    <w:rsid w:val="0069086B"/>
    <w:rsid w:val="00695F0F"/>
    <w:rsid w:val="006A0D89"/>
    <w:rsid w:val="006B1EB6"/>
    <w:rsid w:val="006F24FD"/>
    <w:rsid w:val="007007F4"/>
    <w:rsid w:val="00710ED1"/>
    <w:rsid w:val="00711F63"/>
    <w:rsid w:val="0072328F"/>
    <w:rsid w:val="00762AAD"/>
    <w:rsid w:val="00763DB9"/>
    <w:rsid w:val="007A3B6B"/>
    <w:rsid w:val="008121AE"/>
    <w:rsid w:val="00885CFD"/>
    <w:rsid w:val="0089287F"/>
    <w:rsid w:val="008A30BF"/>
    <w:rsid w:val="008E75BC"/>
    <w:rsid w:val="00903FE5"/>
    <w:rsid w:val="009057C4"/>
    <w:rsid w:val="00913B6B"/>
    <w:rsid w:val="00920A2D"/>
    <w:rsid w:val="00944D99"/>
    <w:rsid w:val="00951217"/>
    <w:rsid w:val="00970D9B"/>
    <w:rsid w:val="00980CDC"/>
    <w:rsid w:val="00983033"/>
    <w:rsid w:val="009915DF"/>
    <w:rsid w:val="009D1AE8"/>
    <w:rsid w:val="009E26B3"/>
    <w:rsid w:val="009F0805"/>
    <w:rsid w:val="009F54C9"/>
    <w:rsid w:val="009F67B6"/>
    <w:rsid w:val="00A0125E"/>
    <w:rsid w:val="00A03BEC"/>
    <w:rsid w:val="00A07753"/>
    <w:rsid w:val="00A14805"/>
    <w:rsid w:val="00A15A89"/>
    <w:rsid w:val="00A41EA4"/>
    <w:rsid w:val="00A80B85"/>
    <w:rsid w:val="00AD21A3"/>
    <w:rsid w:val="00B218B9"/>
    <w:rsid w:val="00B33616"/>
    <w:rsid w:val="00B4421E"/>
    <w:rsid w:val="00B6164A"/>
    <w:rsid w:val="00B63F05"/>
    <w:rsid w:val="00B64BD8"/>
    <w:rsid w:val="00B737F7"/>
    <w:rsid w:val="00BA5E0F"/>
    <w:rsid w:val="00BA6011"/>
    <w:rsid w:val="00BB13E3"/>
    <w:rsid w:val="00BC1E0B"/>
    <w:rsid w:val="00BE7F65"/>
    <w:rsid w:val="00C24E96"/>
    <w:rsid w:val="00C26793"/>
    <w:rsid w:val="00C353ED"/>
    <w:rsid w:val="00C41618"/>
    <w:rsid w:val="00C761D3"/>
    <w:rsid w:val="00CF09F7"/>
    <w:rsid w:val="00D005C5"/>
    <w:rsid w:val="00D16475"/>
    <w:rsid w:val="00D56859"/>
    <w:rsid w:val="00D573C8"/>
    <w:rsid w:val="00D76033"/>
    <w:rsid w:val="00DD1434"/>
    <w:rsid w:val="00DD3D0F"/>
    <w:rsid w:val="00DE683C"/>
    <w:rsid w:val="00E22625"/>
    <w:rsid w:val="00E245A5"/>
    <w:rsid w:val="00E37623"/>
    <w:rsid w:val="00E71628"/>
    <w:rsid w:val="00E755CA"/>
    <w:rsid w:val="00E9425F"/>
    <w:rsid w:val="00EB0C96"/>
    <w:rsid w:val="00EC3DA0"/>
    <w:rsid w:val="00EF6AC6"/>
    <w:rsid w:val="00F23E73"/>
    <w:rsid w:val="00F25719"/>
    <w:rsid w:val="00F34E6D"/>
    <w:rsid w:val="00F35CA1"/>
    <w:rsid w:val="00F479D8"/>
    <w:rsid w:val="00F51FF0"/>
    <w:rsid w:val="00F533A8"/>
    <w:rsid w:val="00F6594F"/>
    <w:rsid w:val="00F81875"/>
    <w:rsid w:val="00F86E07"/>
    <w:rsid w:val="00F95175"/>
    <w:rsid w:val="00FB3D8F"/>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51E9B6"/>
  <w15:chartTrackingRefBased/>
  <w15:docId w15:val="{3F851994-141E-4A63-9877-2BB21D25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763DB9"/>
    <w:pPr>
      <w:tabs>
        <w:tab w:val="right" w:leader="dot" w:pos="9016"/>
      </w:tabs>
      <w:spacing w:after="100"/>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 w:type="paragraph" w:styleId="Footer">
    <w:name w:val="footer"/>
    <w:basedOn w:val="Normal"/>
    <w:link w:val="FooterChar"/>
    <w:uiPriority w:val="99"/>
    <w:unhideWhenUsed/>
    <w:rsid w:val="00F95175"/>
    <w:pPr>
      <w:tabs>
        <w:tab w:val="center" w:pos="4680"/>
        <w:tab w:val="right" w:pos="9360"/>
      </w:tabs>
      <w:spacing w:line="240" w:lineRule="auto"/>
    </w:pPr>
    <w:rPr>
      <w:rFonts w:asciiTheme="minorHAnsi" w:eastAsiaTheme="minorEastAsia" w:hAnsiTheme="minorHAnsi"/>
      <w:sz w:val="22"/>
      <w:lang w:val="en-US"/>
    </w:rPr>
  </w:style>
  <w:style w:type="character" w:customStyle="1" w:styleId="FooterChar">
    <w:name w:val="Footer Char"/>
    <w:basedOn w:val="DefaultParagraphFont"/>
    <w:link w:val="Footer"/>
    <w:uiPriority w:val="99"/>
    <w:rsid w:val="00F95175"/>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ongstaff\Downloads\Bill%20briefing%20template%20Committee%20report%20accessible%20(1).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23CD4-53A2-4EFC-9349-A8C4853FD5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4.xml><?xml version="1.0" encoding="utf-8"?>
<ds:datastoreItem xmlns:ds="http://schemas.openxmlformats.org/officeDocument/2006/customXml" ds:itemID="{855751A6-946D-4299-8432-96EF5232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briefing template Committee report accessible (1)</Template>
  <TotalTime>0</TotalTime>
  <Pages>8</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Rachel Longstaff</dc:creator>
  <cp:keywords/>
  <dc:description/>
  <cp:lastModifiedBy>Megan Cruickshank</cp:lastModifiedBy>
  <cp:revision>2</cp:revision>
  <dcterms:created xsi:type="dcterms:W3CDTF">2022-01-26T11:15:00Z</dcterms:created>
  <dcterms:modified xsi:type="dcterms:W3CDTF">2022-01-26T11:15:00Z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