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65EC2" w14:textId="77777777" w:rsidR="001F4FF2" w:rsidRPr="00624A20" w:rsidRDefault="005D5D22" w:rsidP="00E72C89">
      <w:pPr>
        <w:rPr>
          <w:lang w:val="en-US"/>
        </w:rPr>
      </w:pPr>
      <w:r w:rsidRPr="00624A20">
        <w:rPr>
          <w:b/>
          <w:noProof/>
          <w:sz w:val="32"/>
          <w:szCs w:val="32"/>
          <w:lang w:eastAsia="en-GB"/>
        </w:rPr>
        <w:drawing>
          <wp:anchor distT="0" distB="0" distL="114300" distR="114300" simplePos="0" relativeHeight="251659264" behindDoc="0" locked="0" layoutInCell="1" allowOverlap="1" wp14:anchorId="0853C6E5" wp14:editId="127379D0">
            <wp:simplePos x="0" y="0"/>
            <wp:positionH relativeFrom="column">
              <wp:posOffset>4271645</wp:posOffset>
            </wp:positionH>
            <wp:positionV relativeFrom="paragraph">
              <wp:posOffset>0</wp:posOffset>
            </wp:positionV>
            <wp:extent cx="1804670" cy="443230"/>
            <wp:effectExtent l="0" t="0" r="5080" b="0"/>
            <wp:wrapSquare wrapText="bothSides"/>
            <wp:docPr id="1" name="Picture 1" descr="Logo -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443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E694D" w14:textId="77777777" w:rsidR="008E59C9" w:rsidRDefault="008E59C9" w:rsidP="007F30CE">
      <w:pPr>
        <w:pStyle w:val="Title"/>
        <w:rPr>
          <w:sz w:val="24"/>
          <w:szCs w:val="24"/>
        </w:rPr>
      </w:pPr>
    </w:p>
    <w:p w14:paraId="0689DC96" w14:textId="77777777" w:rsidR="008E59C9" w:rsidRDefault="008E59C9" w:rsidP="007F30CE">
      <w:pPr>
        <w:pStyle w:val="Title"/>
        <w:rPr>
          <w:sz w:val="24"/>
          <w:szCs w:val="24"/>
        </w:rPr>
      </w:pPr>
    </w:p>
    <w:p w14:paraId="3782AAF8" w14:textId="5CD84EF0" w:rsidR="0058711F" w:rsidRPr="00624A20" w:rsidRDefault="00BD0D79" w:rsidP="007F30CE">
      <w:pPr>
        <w:pStyle w:val="Title"/>
        <w:rPr>
          <w:sz w:val="24"/>
          <w:szCs w:val="24"/>
        </w:rPr>
      </w:pPr>
      <w:r w:rsidRPr="00624A20">
        <w:rPr>
          <w:sz w:val="24"/>
          <w:szCs w:val="24"/>
        </w:rPr>
        <w:t xml:space="preserve">Minutes of the </w:t>
      </w:r>
      <w:r w:rsidR="00330E69" w:rsidRPr="00624A20">
        <w:rPr>
          <w:sz w:val="24"/>
          <w:szCs w:val="24"/>
        </w:rPr>
        <w:t>8</w:t>
      </w:r>
      <w:r w:rsidR="00412D06">
        <w:rPr>
          <w:sz w:val="24"/>
          <w:szCs w:val="24"/>
        </w:rPr>
        <w:t>5</w:t>
      </w:r>
      <w:r w:rsidR="003E1E13" w:rsidRPr="00624A20">
        <w:rPr>
          <w:sz w:val="24"/>
          <w:szCs w:val="24"/>
        </w:rPr>
        <w:t>th</w:t>
      </w:r>
      <w:r w:rsidR="00236B13" w:rsidRPr="00624A20">
        <w:rPr>
          <w:sz w:val="24"/>
          <w:szCs w:val="24"/>
        </w:rPr>
        <w:t xml:space="preserve"> </w:t>
      </w:r>
      <w:r w:rsidR="0058711F" w:rsidRPr="00624A20">
        <w:rPr>
          <w:sz w:val="24"/>
          <w:szCs w:val="24"/>
        </w:rPr>
        <w:t>meeting of the Board of the E</w:t>
      </w:r>
      <w:r w:rsidR="00AA3F40" w:rsidRPr="00624A20">
        <w:rPr>
          <w:sz w:val="24"/>
          <w:szCs w:val="24"/>
        </w:rPr>
        <w:t>HRC</w:t>
      </w:r>
    </w:p>
    <w:p w14:paraId="2AE5C329" w14:textId="77777777" w:rsidR="00E72C89" w:rsidRPr="00624A20" w:rsidRDefault="00E72C89" w:rsidP="00E72C89">
      <w:pPr>
        <w:pStyle w:val="Title"/>
        <w:spacing w:after="0"/>
        <w:rPr>
          <w:sz w:val="28"/>
          <w:szCs w:val="28"/>
        </w:rPr>
      </w:pPr>
    </w:p>
    <w:p w14:paraId="4B7CD848" w14:textId="5C49C392" w:rsidR="008E2E65" w:rsidRPr="00624A20" w:rsidRDefault="00412D06" w:rsidP="00E72C89">
      <w:pPr>
        <w:pStyle w:val="Title"/>
        <w:spacing w:after="0"/>
        <w:rPr>
          <w:sz w:val="24"/>
          <w:szCs w:val="24"/>
        </w:rPr>
      </w:pPr>
      <w:r>
        <w:rPr>
          <w:sz w:val="24"/>
          <w:szCs w:val="24"/>
        </w:rPr>
        <w:t>12</w:t>
      </w:r>
      <w:r w:rsidR="003E1E13" w:rsidRPr="00624A20">
        <w:rPr>
          <w:sz w:val="24"/>
          <w:szCs w:val="24"/>
        </w:rPr>
        <w:t xml:space="preserve"> </w:t>
      </w:r>
      <w:r>
        <w:rPr>
          <w:sz w:val="24"/>
          <w:szCs w:val="24"/>
        </w:rPr>
        <w:t>September</w:t>
      </w:r>
      <w:r w:rsidR="003E1E13" w:rsidRPr="00624A20">
        <w:rPr>
          <w:sz w:val="24"/>
          <w:szCs w:val="24"/>
        </w:rPr>
        <w:t xml:space="preserve"> </w:t>
      </w:r>
      <w:r w:rsidR="007579AB" w:rsidRPr="00624A20">
        <w:rPr>
          <w:sz w:val="24"/>
          <w:szCs w:val="24"/>
        </w:rPr>
        <w:t>2019</w:t>
      </w:r>
    </w:p>
    <w:p w14:paraId="0F821A93" w14:textId="77777777" w:rsidR="0058711F" w:rsidRPr="00624A20" w:rsidRDefault="0058711F" w:rsidP="00E72C89">
      <w:pPr>
        <w:pStyle w:val="Title"/>
        <w:spacing w:after="0"/>
        <w:rPr>
          <w:sz w:val="24"/>
          <w:szCs w:val="24"/>
        </w:rPr>
      </w:pPr>
      <w:r w:rsidRPr="00624A20">
        <w:rPr>
          <w:sz w:val="24"/>
          <w:szCs w:val="24"/>
        </w:rPr>
        <w:t>Fleetbank House, 2-6 Salisbury Square, London, EC4Y 8JX</w:t>
      </w:r>
    </w:p>
    <w:p w14:paraId="40AEEF2B" w14:textId="2A7BAB8C" w:rsidR="00201CF4" w:rsidRPr="00624A20" w:rsidRDefault="00201CF4" w:rsidP="00E72C89"/>
    <w:p w14:paraId="121A0BBB" w14:textId="77777777" w:rsidR="0058711F" w:rsidRPr="00624A20" w:rsidRDefault="0058711F" w:rsidP="007F30CE">
      <w:pPr>
        <w:pStyle w:val="Heading1"/>
      </w:pPr>
      <w:r w:rsidRPr="00624A20">
        <w:t>Attending:</w:t>
      </w:r>
    </w:p>
    <w:p w14:paraId="0C40C6E0" w14:textId="77777777" w:rsidR="00201CF4" w:rsidRPr="00624A20" w:rsidRDefault="00201CF4" w:rsidP="003A7F75"/>
    <w:p w14:paraId="2C1A2CDC" w14:textId="77777777" w:rsidR="0058711F" w:rsidRPr="00624A20" w:rsidRDefault="0058711F" w:rsidP="007F30CE">
      <w:pPr>
        <w:pStyle w:val="Heading2"/>
      </w:pPr>
      <w:r w:rsidRPr="00624A20">
        <w:t>Commissioners</w:t>
      </w:r>
    </w:p>
    <w:p w14:paraId="0337B138" w14:textId="77777777" w:rsidR="0058711F" w:rsidRPr="00624A20" w:rsidRDefault="0058711F" w:rsidP="00E72C89">
      <w:r w:rsidRPr="00624A20">
        <w:t>David Isaac, Chair</w:t>
      </w:r>
    </w:p>
    <w:p w14:paraId="0A9654CA" w14:textId="77777777" w:rsidR="006160E5" w:rsidRPr="00624A20" w:rsidRDefault="006160E5" w:rsidP="00E72C89">
      <w:r w:rsidRPr="00624A20">
        <w:t>Suzanne Baxter</w:t>
      </w:r>
    </w:p>
    <w:p w14:paraId="28E7AA7D" w14:textId="5A844018" w:rsidR="006463A9" w:rsidRDefault="006463A9" w:rsidP="00E72C89">
      <w:r>
        <w:t>Pavita Cooper</w:t>
      </w:r>
    </w:p>
    <w:p w14:paraId="443F79A4" w14:textId="77777777" w:rsidR="009E07EC" w:rsidRPr="00624A20" w:rsidRDefault="003E1E13" w:rsidP="00E72C89">
      <w:r w:rsidRPr="00624A20">
        <w:t>A</w:t>
      </w:r>
      <w:r w:rsidR="009E07EC" w:rsidRPr="00624A20">
        <w:t>lasdair Henderson</w:t>
      </w:r>
    </w:p>
    <w:p w14:paraId="522A5226" w14:textId="77777777" w:rsidR="0058711F" w:rsidRDefault="0058711F" w:rsidP="00E72C89">
      <w:r w:rsidRPr="00624A20">
        <w:t>Susan Johnson</w:t>
      </w:r>
    </w:p>
    <w:p w14:paraId="3C9E5498" w14:textId="77777777" w:rsidR="006160E5" w:rsidRPr="00624A20" w:rsidRDefault="00417E98" w:rsidP="00E72C89">
      <w:r w:rsidRPr="00624A20">
        <w:t xml:space="preserve">Helen Mahy </w:t>
      </w:r>
    </w:p>
    <w:p w14:paraId="25E8C7F0" w14:textId="77777777" w:rsidR="00412D06" w:rsidRPr="00624A20" w:rsidRDefault="00412D06" w:rsidP="00412D06">
      <w:r>
        <w:t>Mark McLane</w:t>
      </w:r>
    </w:p>
    <w:p w14:paraId="21202E6D" w14:textId="77777777" w:rsidR="00A71C48" w:rsidRPr="00624A20" w:rsidRDefault="00A71C48" w:rsidP="00E72C89">
      <w:r w:rsidRPr="00624A20">
        <w:t>Lesley Sawers</w:t>
      </w:r>
    </w:p>
    <w:p w14:paraId="14E0993A" w14:textId="076300BE" w:rsidR="00412D06" w:rsidRDefault="00412D06" w:rsidP="00E72C89">
      <w:r>
        <w:t>Swaran Singh</w:t>
      </w:r>
    </w:p>
    <w:p w14:paraId="6AA1D1F4" w14:textId="77777777" w:rsidR="003E1E13" w:rsidRPr="00624A20" w:rsidRDefault="003E1E13" w:rsidP="00E72C89">
      <w:r w:rsidRPr="00624A20">
        <w:t>Caroline Waters</w:t>
      </w:r>
    </w:p>
    <w:p w14:paraId="5D006CFC" w14:textId="77777777" w:rsidR="0058711F" w:rsidRPr="00624A20" w:rsidRDefault="0058711F" w:rsidP="00E72C89">
      <w:r w:rsidRPr="00624A20">
        <w:t>Rebecca Hilsenrath, Chief Executive Officer</w:t>
      </w:r>
      <w:r w:rsidR="00916684" w:rsidRPr="00624A20">
        <w:t xml:space="preserve"> </w:t>
      </w:r>
    </w:p>
    <w:p w14:paraId="7461D63C" w14:textId="77777777" w:rsidR="003E1E13" w:rsidRPr="00624A20" w:rsidRDefault="003E1E13" w:rsidP="003970CD"/>
    <w:p w14:paraId="6864C211" w14:textId="77777777" w:rsidR="0058711F" w:rsidRPr="00624A20" w:rsidRDefault="0058711F" w:rsidP="007F30CE">
      <w:pPr>
        <w:pStyle w:val="Heading2"/>
      </w:pPr>
      <w:r w:rsidRPr="00624A20">
        <w:t>Officers</w:t>
      </w:r>
    </w:p>
    <w:p w14:paraId="45E881C8" w14:textId="28998571" w:rsidR="00412D06" w:rsidRDefault="00412D06" w:rsidP="008810FB">
      <w:r>
        <w:t>Erica Boardman</w:t>
      </w:r>
      <w:r w:rsidR="006463A9">
        <w:t>, Senior Principal - Commu</w:t>
      </w:r>
      <w:r w:rsidR="008C30D0">
        <w:t>n</w:t>
      </w:r>
      <w:r w:rsidR="006463A9">
        <w:t>ications</w:t>
      </w:r>
    </w:p>
    <w:p w14:paraId="0655C85C" w14:textId="57FC37B3" w:rsidR="001C6F0A" w:rsidRDefault="001C6F0A" w:rsidP="008810FB">
      <w:r>
        <w:t>Dean Button, Principal – Interim Head of Performance and Effectiveness Unit</w:t>
      </w:r>
    </w:p>
    <w:p w14:paraId="2175EC5A" w14:textId="2B62BF68" w:rsidR="00412D06" w:rsidRDefault="00412D06" w:rsidP="008810FB">
      <w:r>
        <w:t>Martin Deller</w:t>
      </w:r>
      <w:r w:rsidR="006463A9">
        <w:t>, Principal - Communications</w:t>
      </w:r>
    </w:p>
    <w:p w14:paraId="122A482D" w14:textId="77777777" w:rsidR="003E1E13" w:rsidRPr="00624A20" w:rsidRDefault="003E1E13" w:rsidP="008810FB">
      <w:r w:rsidRPr="00624A20">
        <w:t xml:space="preserve">Tessa Griffiths, Director – Strategy and Governance </w:t>
      </w:r>
    </w:p>
    <w:p w14:paraId="09960036" w14:textId="77777777" w:rsidR="002D3E78" w:rsidRPr="00624A20" w:rsidRDefault="002D3E78" w:rsidP="008810FB">
      <w:r w:rsidRPr="00624A20">
        <w:t>Laura Lucking</w:t>
      </w:r>
      <w:r w:rsidR="00122A70" w:rsidRPr="00624A20">
        <w:t>, Director – Compliance (item 12)</w:t>
      </w:r>
    </w:p>
    <w:p w14:paraId="5A92D13C" w14:textId="40593033" w:rsidR="008810FB" w:rsidRPr="00624A20" w:rsidRDefault="008810FB" w:rsidP="008810FB">
      <w:r w:rsidRPr="00624A20">
        <w:t>Richard Mabbitt, Senior Associate - Governance</w:t>
      </w:r>
    </w:p>
    <w:p w14:paraId="247CA5C1" w14:textId="4DDD5D82" w:rsidR="008810FB" w:rsidRPr="00624A20" w:rsidRDefault="008810FB" w:rsidP="00E72C89">
      <w:r w:rsidRPr="00624A20">
        <w:t>Callum MacInnes, Principal –Governance</w:t>
      </w:r>
    </w:p>
    <w:p w14:paraId="5779088D" w14:textId="389AE48D" w:rsidR="009E07EC" w:rsidRPr="00624A20" w:rsidRDefault="009E07EC" w:rsidP="00E72C89">
      <w:r w:rsidRPr="00624A20">
        <w:t xml:space="preserve">Alastair Pringle, Executive Director – </w:t>
      </w:r>
      <w:r w:rsidR="006463A9">
        <w:t xml:space="preserve">Scotland and </w:t>
      </w:r>
      <w:r w:rsidRPr="00624A20">
        <w:t>Corporate Delivery</w:t>
      </w:r>
      <w:r w:rsidR="00916684" w:rsidRPr="00624A20">
        <w:t xml:space="preserve"> </w:t>
      </w:r>
    </w:p>
    <w:p w14:paraId="44A6FB2C" w14:textId="0404F951" w:rsidR="00412D06" w:rsidRDefault="00412D06" w:rsidP="00E72C89">
      <w:r>
        <w:t>Graham Wheaton</w:t>
      </w:r>
      <w:r w:rsidR="006463A9">
        <w:t>, Senior Associate - Governance</w:t>
      </w:r>
    </w:p>
    <w:p w14:paraId="5949EA41" w14:textId="16964330" w:rsidR="00BD0D79" w:rsidRPr="00624A20" w:rsidRDefault="003E1E13" w:rsidP="00E72C89">
      <w:r w:rsidRPr="00624A20">
        <w:t>Ben Wilson, Executive Director</w:t>
      </w:r>
      <w:r w:rsidR="008C30D0">
        <w:t xml:space="preserve"> -</w:t>
      </w:r>
      <w:r w:rsidR="009E07EC" w:rsidRPr="00624A20">
        <w:t xml:space="preserve"> </w:t>
      </w:r>
      <w:r w:rsidR="006463A9">
        <w:t xml:space="preserve">England and </w:t>
      </w:r>
      <w:r w:rsidR="009E07EC" w:rsidRPr="00624A20">
        <w:t>Corporate Improvement and Impact</w:t>
      </w:r>
      <w:r w:rsidR="00916684" w:rsidRPr="00624A20">
        <w:t xml:space="preserve"> </w:t>
      </w:r>
    </w:p>
    <w:p w14:paraId="03ACA213" w14:textId="77777777" w:rsidR="009E07EC" w:rsidRPr="00624A20" w:rsidRDefault="009E07EC" w:rsidP="003970CD"/>
    <w:p w14:paraId="10D259F1" w14:textId="77777777" w:rsidR="00BE52B8" w:rsidRPr="00624A20" w:rsidRDefault="003E1E13" w:rsidP="00BE52B8">
      <w:pPr>
        <w:pStyle w:val="Heading2"/>
      </w:pPr>
      <w:r w:rsidRPr="00624A20">
        <w:t>Guests</w:t>
      </w:r>
    </w:p>
    <w:p w14:paraId="70D13E60" w14:textId="77777777" w:rsidR="003E1E13" w:rsidRPr="00624A20" w:rsidRDefault="003E1E13" w:rsidP="003E1E13">
      <w:r w:rsidRPr="00624A20">
        <w:t xml:space="preserve">Alison Parken, </w:t>
      </w:r>
      <w:r w:rsidR="009A1DEC" w:rsidRPr="00624A20">
        <w:t xml:space="preserve">Interim </w:t>
      </w:r>
      <w:r w:rsidRPr="00624A20">
        <w:t xml:space="preserve">Chair of EHRC Wales Committee  </w:t>
      </w:r>
    </w:p>
    <w:p w14:paraId="2652E230" w14:textId="77777777" w:rsidR="009E07EC" w:rsidRPr="00624A20" w:rsidRDefault="009E07EC" w:rsidP="00680D6E">
      <w:r w:rsidRPr="00624A20">
        <w:t>Charles Ramsden, Government Equalities Office</w:t>
      </w:r>
      <w:r w:rsidR="00A13D0B" w:rsidRPr="00624A20">
        <w:t xml:space="preserve"> </w:t>
      </w:r>
    </w:p>
    <w:p w14:paraId="4BA22382" w14:textId="77777777" w:rsidR="009E07EC" w:rsidRPr="00624A20" w:rsidRDefault="009E07EC" w:rsidP="00680D6E"/>
    <w:p w14:paraId="2639003B" w14:textId="77777777" w:rsidR="008E2E65" w:rsidRPr="00624A20" w:rsidRDefault="008E2E65" w:rsidP="00E72C89">
      <w:pPr>
        <w:rPr>
          <w:highlight w:val="yellow"/>
        </w:rPr>
      </w:pPr>
    </w:p>
    <w:p w14:paraId="73CA8E47" w14:textId="77777777" w:rsidR="0058711F" w:rsidRPr="00624A20" w:rsidRDefault="0058711F" w:rsidP="007F30CE">
      <w:pPr>
        <w:pStyle w:val="Heading1"/>
      </w:pPr>
      <w:r w:rsidRPr="00624A20">
        <w:t>1.</w:t>
      </w:r>
      <w:r w:rsidRPr="00624A20">
        <w:tab/>
        <w:t>Chair’s welcome</w:t>
      </w:r>
    </w:p>
    <w:p w14:paraId="3CC1387F" w14:textId="77777777" w:rsidR="0058711F" w:rsidRPr="00624A20" w:rsidRDefault="0058711F" w:rsidP="003A7F75">
      <w:pPr>
        <w:ind w:left="720" w:hanging="720"/>
      </w:pPr>
    </w:p>
    <w:p w14:paraId="541FF325" w14:textId="3157FDFE" w:rsidR="009A1DEC" w:rsidRDefault="00867C69" w:rsidP="00BA122D">
      <w:pPr>
        <w:pStyle w:val="ListParagraph"/>
        <w:numPr>
          <w:ilvl w:val="1"/>
          <w:numId w:val="4"/>
        </w:numPr>
      </w:pPr>
      <w:r w:rsidRPr="00624A20">
        <w:t>David Isaac welcomed attendees</w:t>
      </w:r>
      <w:r w:rsidR="00690BF6" w:rsidRPr="00624A20">
        <w:t>.</w:t>
      </w:r>
      <w:r w:rsidR="003E1E13" w:rsidRPr="00624A20">
        <w:t xml:space="preserve"> </w:t>
      </w:r>
      <w:r w:rsidR="009A1DEC" w:rsidRPr="00624A20">
        <w:t>Alison Parken</w:t>
      </w:r>
      <w:r w:rsidR="006463A9">
        <w:t xml:space="preserve"> continued to attend as interim chair of the Commissio</w:t>
      </w:r>
      <w:r w:rsidR="00E42B48">
        <w:t>n’s Wales Committee, pending the</w:t>
      </w:r>
      <w:r w:rsidR="006463A9">
        <w:t xml:space="preserve"> appointment of the Wales Commissioner</w:t>
      </w:r>
      <w:r w:rsidR="007F24F2" w:rsidRPr="00624A20">
        <w:t>.</w:t>
      </w:r>
    </w:p>
    <w:p w14:paraId="224CFA7B" w14:textId="77777777" w:rsidR="005077D5" w:rsidRPr="00624A20" w:rsidRDefault="005077D5" w:rsidP="005077D5">
      <w:pPr>
        <w:rPr>
          <w:rFonts w:cs="Arial"/>
        </w:rPr>
      </w:pPr>
    </w:p>
    <w:p w14:paraId="7E31F9C7" w14:textId="77777777" w:rsidR="003A7F75" w:rsidRPr="00624A20" w:rsidRDefault="003A7F75" w:rsidP="007F30CE">
      <w:pPr>
        <w:pStyle w:val="Heading1"/>
        <w:rPr>
          <w:lang w:eastAsia="en-GB"/>
        </w:rPr>
      </w:pPr>
      <w:r w:rsidRPr="00624A20">
        <w:rPr>
          <w:lang w:eastAsia="en-GB"/>
        </w:rPr>
        <w:t xml:space="preserve">2. </w:t>
      </w:r>
      <w:r w:rsidRPr="00624A20">
        <w:rPr>
          <w:lang w:eastAsia="en-GB"/>
        </w:rPr>
        <w:tab/>
        <w:t>Apologies for absence</w:t>
      </w:r>
    </w:p>
    <w:p w14:paraId="5E4830DE" w14:textId="77777777" w:rsidR="003A7F75" w:rsidRPr="00624A20" w:rsidRDefault="003A7F75" w:rsidP="005D2729">
      <w:pPr>
        <w:ind w:left="720" w:hanging="720"/>
      </w:pPr>
    </w:p>
    <w:p w14:paraId="12878BF1" w14:textId="67FAE9F6" w:rsidR="003A7F75" w:rsidRPr="00624A20" w:rsidRDefault="003A7F75" w:rsidP="005D2729">
      <w:pPr>
        <w:ind w:left="720" w:hanging="720"/>
        <w:rPr>
          <w:rFonts w:cs="Arial"/>
          <w:iCs/>
          <w:lang w:eastAsia="en-GB"/>
        </w:rPr>
      </w:pPr>
      <w:r w:rsidRPr="00624A20">
        <w:t>2.1</w:t>
      </w:r>
      <w:r w:rsidRPr="00624A20">
        <w:tab/>
        <w:t xml:space="preserve">Apologies had </w:t>
      </w:r>
      <w:r w:rsidR="003F63EE" w:rsidRPr="00624A20">
        <w:t xml:space="preserve">been received from </w:t>
      </w:r>
      <w:r w:rsidR="006463A9">
        <w:t>Melanie Field (ED</w:t>
      </w:r>
      <w:r w:rsidR="003970CD">
        <w:t xml:space="preserve"> </w:t>
      </w:r>
      <w:r w:rsidR="006463A9">
        <w:t>- Wales and Strategy and Policy) and Olufemi Oguntunde (Director of Finance and Procurement).</w:t>
      </w:r>
    </w:p>
    <w:p w14:paraId="7510677A" w14:textId="77777777" w:rsidR="003D5059" w:rsidRPr="00624A20" w:rsidRDefault="003D5059" w:rsidP="005D2729">
      <w:pPr>
        <w:ind w:left="1800" w:hanging="720"/>
        <w:rPr>
          <w:rFonts w:cs="Arial"/>
          <w:iCs/>
          <w:lang w:eastAsia="en-GB"/>
        </w:rPr>
      </w:pPr>
    </w:p>
    <w:p w14:paraId="115EA5BD" w14:textId="77777777" w:rsidR="009C7E2F" w:rsidRPr="00624A20" w:rsidRDefault="003A7F75" w:rsidP="007F30CE">
      <w:pPr>
        <w:pStyle w:val="Heading1"/>
      </w:pPr>
      <w:r w:rsidRPr="00624A20">
        <w:t>3</w:t>
      </w:r>
      <w:r w:rsidR="009C7E2F" w:rsidRPr="00624A20">
        <w:t>.</w:t>
      </w:r>
      <w:r w:rsidR="009C7E2F" w:rsidRPr="00624A20">
        <w:tab/>
        <w:t xml:space="preserve">Declarations of interest </w:t>
      </w:r>
    </w:p>
    <w:p w14:paraId="77090538" w14:textId="77777777" w:rsidR="00F06AA8" w:rsidRPr="00624A20" w:rsidRDefault="00F06AA8" w:rsidP="00F06AA8"/>
    <w:p w14:paraId="339ECDEE" w14:textId="5CE1B35B" w:rsidR="00C27462" w:rsidRPr="00624A20" w:rsidRDefault="003B707A" w:rsidP="006463A9">
      <w:pPr>
        <w:ind w:left="720" w:hanging="720"/>
      </w:pPr>
      <w:r w:rsidRPr="00624A20">
        <w:rPr>
          <w:rFonts w:cs="Arial"/>
        </w:rPr>
        <w:t>3</w:t>
      </w:r>
      <w:r w:rsidR="007827ED" w:rsidRPr="00624A20">
        <w:rPr>
          <w:rFonts w:cs="Arial"/>
        </w:rPr>
        <w:t>.1</w:t>
      </w:r>
      <w:r w:rsidR="000C1D06" w:rsidRPr="00624A20">
        <w:rPr>
          <w:rFonts w:cs="Arial"/>
        </w:rPr>
        <w:tab/>
      </w:r>
      <w:r w:rsidR="00576000">
        <w:rPr>
          <w:rFonts w:cs="Arial"/>
        </w:rPr>
        <w:t>Pavita Cooper declared for registration t</w:t>
      </w:r>
      <w:r w:rsidR="008E59C9">
        <w:rPr>
          <w:rFonts w:cs="Arial"/>
        </w:rPr>
        <w:t>hat a family member sat on the S</w:t>
      </w:r>
      <w:r w:rsidR="00576000">
        <w:rPr>
          <w:rFonts w:cs="Arial"/>
        </w:rPr>
        <w:t xml:space="preserve">ocial Mobility Commission. </w:t>
      </w:r>
      <w:r w:rsidR="006463A9">
        <w:rPr>
          <w:rFonts w:cs="Arial"/>
        </w:rPr>
        <w:t xml:space="preserve">No </w:t>
      </w:r>
      <w:r w:rsidR="00576000">
        <w:rPr>
          <w:rFonts w:cs="Arial"/>
        </w:rPr>
        <w:t xml:space="preserve">other </w:t>
      </w:r>
      <w:r w:rsidR="006463A9">
        <w:rPr>
          <w:rFonts w:cs="Arial"/>
        </w:rPr>
        <w:t>declarations additional to those already registered were made.</w:t>
      </w:r>
    </w:p>
    <w:p w14:paraId="6E4EFAAD" w14:textId="77777777" w:rsidR="003A7F75" w:rsidRPr="00624A20" w:rsidRDefault="003A7F75" w:rsidP="003A7F75">
      <w:pPr>
        <w:ind w:left="720" w:hanging="720"/>
      </w:pPr>
    </w:p>
    <w:p w14:paraId="66F3A92B" w14:textId="77777777" w:rsidR="00322813" w:rsidRPr="00624A20" w:rsidRDefault="003A7F75" w:rsidP="007F30CE">
      <w:pPr>
        <w:pStyle w:val="Heading1"/>
      </w:pPr>
      <w:r w:rsidRPr="00624A20">
        <w:t>4</w:t>
      </w:r>
      <w:r w:rsidR="00306C19" w:rsidRPr="00624A20">
        <w:t>.</w:t>
      </w:r>
      <w:r w:rsidR="00306C19" w:rsidRPr="00624A20">
        <w:tab/>
      </w:r>
      <w:r w:rsidR="00322813" w:rsidRPr="00624A20">
        <w:t>Minutes of the last meeting</w:t>
      </w:r>
    </w:p>
    <w:p w14:paraId="2CADCD3C" w14:textId="77777777" w:rsidR="00322813" w:rsidRPr="00624A20" w:rsidRDefault="00322813" w:rsidP="00E72C89"/>
    <w:p w14:paraId="22A73EE1" w14:textId="50F0F2D2" w:rsidR="00B12302" w:rsidRPr="00624A20" w:rsidRDefault="00575495" w:rsidP="00B12302">
      <w:pPr>
        <w:ind w:left="720" w:hanging="720"/>
      </w:pPr>
      <w:r w:rsidRPr="00624A20">
        <w:t>4</w:t>
      </w:r>
      <w:r w:rsidR="00322813" w:rsidRPr="00624A20">
        <w:t>.1</w:t>
      </w:r>
      <w:r w:rsidR="00322813" w:rsidRPr="00624A20">
        <w:tab/>
      </w:r>
      <w:r w:rsidR="00A81828" w:rsidRPr="00624A20">
        <w:t>T</w:t>
      </w:r>
      <w:r w:rsidR="00322813" w:rsidRPr="00624A20">
        <w:t xml:space="preserve">he minutes </w:t>
      </w:r>
      <w:r w:rsidR="00664D44" w:rsidRPr="00624A20">
        <w:t xml:space="preserve">of the </w:t>
      </w:r>
      <w:r w:rsidR="006463A9">
        <w:t>84</w:t>
      </w:r>
      <w:r w:rsidR="003970CD">
        <w:t>th</w:t>
      </w:r>
      <w:r w:rsidR="00C47DF8" w:rsidRPr="00624A20">
        <w:t xml:space="preserve"> </w:t>
      </w:r>
      <w:r w:rsidR="0040121C" w:rsidRPr="00624A20">
        <w:t xml:space="preserve">Board meeting of </w:t>
      </w:r>
      <w:r w:rsidR="00F62CB4">
        <w:t>3</w:t>
      </w:r>
      <w:r w:rsidR="006463A9">
        <w:t xml:space="preserve"> July</w:t>
      </w:r>
      <w:r w:rsidR="0055094A" w:rsidRPr="00624A20">
        <w:t xml:space="preserve"> </w:t>
      </w:r>
      <w:r w:rsidR="00C47DF8" w:rsidRPr="00624A20">
        <w:t>2019</w:t>
      </w:r>
      <w:r w:rsidR="00D4185E" w:rsidRPr="00624A20">
        <w:t xml:space="preserve"> (paper </w:t>
      </w:r>
      <w:r w:rsidR="00240362" w:rsidRPr="00624A20">
        <w:rPr>
          <w:u w:val="single"/>
        </w:rPr>
        <w:t>EHRC 8</w:t>
      </w:r>
      <w:r w:rsidR="006463A9">
        <w:rPr>
          <w:u w:val="single"/>
        </w:rPr>
        <w:t>5</w:t>
      </w:r>
      <w:r w:rsidR="00D4185E" w:rsidRPr="00624A20">
        <w:rPr>
          <w:u w:val="single"/>
        </w:rPr>
        <w:t>.01</w:t>
      </w:r>
      <w:r w:rsidR="00D4185E" w:rsidRPr="00624A20">
        <w:t xml:space="preserve">) </w:t>
      </w:r>
      <w:r w:rsidR="00322813" w:rsidRPr="00624A20">
        <w:t>were agreed as a true record</w:t>
      </w:r>
      <w:r w:rsidR="006463A9">
        <w:t>.</w:t>
      </w:r>
    </w:p>
    <w:p w14:paraId="05240D8A" w14:textId="77777777" w:rsidR="0055094A" w:rsidRPr="00624A20" w:rsidRDefault="0055094A" w:rsidP="0055094A">
      <w:pPr>
        <w:ind w:left="720" w:hanging="720"/>
        <w:rPr>
          <w:highlight w:val="yellow"/>
        </w:rPr>
      </w:pPr>
    </w:p>
    <w:p w14:paraId="53282BC4" w14:textId="77777777" w:rsidR="00322813" w:rsidRPr="00624A20" w:rsidRDefault="003A7F75" w:rsidP="007F30CE">
      <w:pPr>
        <w:pStyle w:val="Heading1"/>
      </w:pPr>
      <w:r w:rsidRPr="00624A20">
        <w:t>5</w:t>
      </w:r>
      <w:r w:rsidR="00EC5F30" w:rsidRPr="00624A20">
        <w:t>.</w:t>
      </w:r>
      <w:r w:rsidR="00322813" w:rsidRPr="00624A20">
        <w:tab/>
        <w:t xml:space="preserve">Actions arising </w:t>
      </w:r>
    </w:p>
    <w:p w14:paraId="4723E6BA" w14:textId="77777777" w:rsidR="00AA3F40" w:rsidRPr="00624A20" w:rsidRDefault="00AA3F40" w:rsidP="00B04277">
      <w:pPr>
        <w:ind w:left="720" w:hanging="720"/>
      </w:pPr>
    </w:p>
    <w:p w14:paraId="47575652" w14:textId="0DD8FC86" w:rsidR="003D5059" w:rsidRDefault="00B271E4" w:rsidP="003D5059">
      <w:pPr>
        <w:ind w:left="720" w:hanging="720"/>
      </w:pPr>
      <w:r w:rsidRPr="00624A20">
        <w:t>5</w:t>
      </w:r>
      <w:r w:rsidR="00EC5F30" w:rsidRPr="00624A20">
        <w:t>.</w:t>
      </w:r>
      <w:r w:rsidR="00D30D41" w:rsidRPr="00624A20">
        <w:t>1</w:t>
      </w:r>
      <w:r w:rsidR="00D30D41" w:rsidRPr="00624A20">
        <w:tab/>
      </w:r>
      <w:r w:rsidR="003D5059" w:rsidRPr="00624A20">
        <w:t>The Board reviewed the log of actions arising from Board meetings (</w:t>
      </w:r>
      <w:r w:rsidR="006463A9">
        <w:rPr>
          <w:u w:val="single"/>
        </w:rPr>
        <w:t>EHRC 85</w:t>
      </w:r>
      <w:r w:rsidR="003D5059" w:rsidRPr="00624A20">
        <w:rPr>
          <w:u w:val="single"/>
        </w:rPr>
        <w:t>.02</w:t>
      </w:r>
      <w:r w:rsidR="003970CD">
        <w:t>).</w:t>
      </w:r>
    </w:p>
    <w:p w14:paraId="5AA57FEF" w14:textId="77777777" w:rsidR="00917F3A" w:rsidRDefault="00917F3A" w:rsidP="003D5059">
      <w:pPr>
        <w:ind w:left="720" w:hanging="720"/>
      </w:pPr>
    </w:p>
    <w:p w14:paraId="6B09ACAE" w14:textId="585C579A" w:rsidR="00917F3A" w:rsidRPr="00917F3A" w:rsidRDefault="00917F3A" w:rsidP="00917F3A">
      <w:pPr>
        <w:ind w:left="1440" w:hanging="720"/>
        <w:rPr>
          <w:rFonts w:eastAsia="Times New Roman" w:cs="Arial"/>
          <w:bCs/>
        </w:rPr>
      </w:pPr>
      <w:r w:rsidRPr="00917F3A">
        <w:t>a)</w:t>
      </w:r>
      <w:r w:rsidRPr="00917F3A">
        <w:tab/>
      </w:r>
      <w:r w:rsidRPr="00917F3A">
        <w:rPr>
          <w:u w:val="single"/>
        </w:rPr>
        <w:t>Action 84/</w:t>
      </w:r>
      <w:r w:rsidRPr="00917F3A">
        <w:rPr>
          <w:rFonts w:eastAsia="Times New Roman" w:cs="Arial"/>
          <w:u w:val="single"/>
        </w:rPr>
        <w:t>7.9</w:t>
      </w:r>
      <w:r w:rsidRPr="00917F3A">
        <w:rPr>
          <w:rFonts w:eastAsia="Times New Roman" w:cs="Arial"/>
          <w:bCs/>
        </w:rPr>
        <w:t xml:space="preserve"> (Delivery and Financial Mana</w:t>
      </w:r>
      <w:r w:rsidR="00F62CB4">
        <w:rPr>
          <w:rFonts w:eastAsia="Times New Roman" w:cs="Arial"/>
          <w:bCs/>
        </w:rPr>
        <w:t>gement – lessons learned review</w:t>
      </w:r>
      <w:r w:rsidR="003970CD">
        <w:rPr>
          <w:rFonts w:eastAsia="Times New Roman" w:cs="Arial"/>
          <w:bCs/>
        </w:rPr>
        <w:t>)</w:t>
      </w:r>
      <w:r w:rsidRPr="00917F3A">
        <w:rPr>
          <w:rFonts w:eastAsia="Times New Roman" w:cs="Arial"/>
          <w:bCs/>
        </w:rPr>
        <w:t xml:space="preserve"> w</w:t>
      </w:r>
      <w:r w:rsidR="00E42B48">
        <w:rPr>
          <w:rFonts w:eastAsia="Times New Roman" w:cs="Arial"/>
          <w:bCs/>
        </w:rPr>
        <w:t>o</w:t>
      </w:r>
      <w:r w:rsidRPr="00917F3A">
        <w:rPr>
          <w:rFonts w:eastAsia="Times New Roman" w:cs="Arial"/>
          <w:bCs/>
        </w:rPr>
        <w:t xml:space="preserve">uld be reported on at </w:t>
      </w:r>
      <w:r w:rsidRPr="003970CD">
        <w:rPr>
          <w:rFonts w:eastAsia="Times New Roman" w:cs="Arial"/>
          <w:bCs/>
          <w:u w:val="single"/>
        </w:rPr>
        <w:t xml:space="preserve">item </w:t>
      </w:r>
      <w:r w:rsidR="00F62CB4" w:rsidRPr="003970CD">
        <w:rPr>
          <w:rFonts w:eastAsia="Times New Roman" w:cs="Arial"/>
          <w:bCs/>
          <w:u w:val="single"/>
        </w:rPr>
        <w:t>8</w:t>
      </w:r>
      <w:r w:rsidR="00F62CB4">
        <w:rPr>
          <w:rFonts w:eastAsia="Times New Roman" w:cs="Arial"/>
          <w:bCs/>
        </w:rPr>
        <w:t>.</w:t>
      </w:r>
      <w:r w:rsidRPr="00F62CB4">
        <w:rPr>
          <w:rFonts w:eastAsia="Times New Roman" w:cs="Arial"/>
          <w:bCs/>
        </w:rPr>
        <w:t>)</w:t>
      </w:r>
    </w:p>
    <w:p w14:paraId="17CCBD0D" w14:textId="77777777" w:rsidR="00917F3A" w:rsidRPr="00917F3A" w:rsidRDefault="00917F3A" w:rsidP="00917F3A">
      <w:pPr>
        <w:ind w:left="1440" w:hanging="720"/>
        <w:rPr>
          <w:rFonts w:eastAsia="Times New Roman" w:cs="Arial"/>
          <w:bCs/>
        </w:rPr>
      </w:pPr>
    </w:p>
    <w:p w14:paraId="15229DFF" w14:textId="7377CE53" w:rsidR="00917F3A" w:rsidRPr="00917F3A" w:rsidRDefault="00917F3A" w:rsidP="00917F3A">
      <w:pPr>
        <w:ind w:left="1440" w:hanging="720"/>
      </w:pPr>
      <w:r w:rsidRPr="00917F3A">
        <w:rPr>
          <w:rFonts w:eastAsia="Times New Roman" w:cs="Arial"/>
          <w:bCs/>
        </w:rPr>
        <w:t>b)</w:t>
      </w:r>
      <w:r w:rsidRPr="00917F3A">
        <w:rPr>
          <w:rFonts w:eastAsia="Times New Roman" w:cs="Arial"/>
          <w:bCs/>
        </w:rPr>
        <w:tab/>
      </w:r>
      <w:r w:rsidRPr="00917F3A">
        <w:rPr>
          <w:rFonts w:eastAsia="Times New Roman" w:cs="Arial"/>
          <w:bCs/>
          <w:u w:val="single"/>
        </w:rPr>
        <w:t xml:space="preserve">Action </w:t>
      </w:r>
      <w:r w:rsidRPr="00917F3A">
        <w:rPr>
          <w:u w:val="single"/>
        </w:rPr>
        <w:t>81/7.2</w:t>
      </w:r>
      <w:r w:rsidRPr="00917F3A">
        <w:t xml:space="preserve"> (Communicating the Commission’s Legal activity) would be reported on under the wider Communication</w:t>
      </w:r>
      <w:r w:rsidR="00E42B48">
        <w:t xml:space="preserve"> </w:t>
      </w:r>
      <w:r w:rsidR="003970CD">
        <w:t>and E</w:t>
      </w:r>
      <w:r w:rsidRPr="00917F3A">
        <w:t xml:space="preserve">ngagement </w:t>
      </w:r>
      <w:r w:rsidR="003970CD">
        <w:t>S</w:t>
      </w:r>
      <w:r w:rsidRPr="00917F3A">
        <w:t>trategy discuss</w:t>
      </w:r>
      <w:r w:rsidR="00F62CB4">
        <w:t>ion at</w:t>
      </w:r>
      <w:r w:rsidRPr="00917F3A">
        <w:t xml:space="preserve"> </w:t>
      </w:r>
      <w:r w:rsidRPr="003970CD">
        <w:rPr>
          <w:u w:val="single"/>
        </w:rPr>
        <w:t xml:space="preserve">item </w:t>
      </w:r>
      <w:r w:rsidR="00F62CB4" w:rsidRPr="003970CD">
        <w:rPr>
          <w:u w:val="single"/>
        </w:rPr>
        <w:t>9</w:t>
      </w:r>
      <w:r w:rsidRPr="00F62CB4">
        <w:t>)</w:t>
      </w:r>
    </w:p>
    <w:p w14:paraId="53993A42" w14:textId="77777777" w:rsidR="00917F3A" w:rsidRPr="00917F3A" w:rsidRDefault="00917F3A" w:rsidP="00917F3A">
      <w:pPr>
        <w:ind w:left="1440" w:hanging="720"/>
      </w:pPr>
    </w:p>
    <w:p w14:paraId="192F2718" w14:textId="3C8C49B1" w:rsidR="00917F3A" w:rsidRPr="00917F3A" w:rsidRDefault="00917F3A" w:rsidP="00917F3A">
      <w:pPr>
        <w:ind w:left="1440" w:hanging="720"/>
      </w:pPr>
      <w:r w:rsidRPr="00917F3A">
        <w:t>c)</w:t>
      </w:r>
      <w:r w:rsidRPr="00917F3A">
        <w:tab/>
      </w:r>
      <w:r w:rsidR="00C82027">
        <w:t xml:space="preserve">An update on </w:t>
      </w:r>
      <w:r w:rsidRPr="00917F3A">
        <w:rPr>
          <w:u w:val="single"/>
        </w:rPr>
        <w:t>Action 84/8.5</w:t>
      </w:r>
      <w:r w:rsidRPr="00917F3A">
        <w:t xml:space="preserve"> (</w:t>
      </w:r>
      <w:r w:rsidR="008C30D0">
        <w:t xml:space="preserve">schedule for </w:t>
      </w:r>
      <w:r w:rsidRPr="00917F3A">
        <w:t>BB</w:t>
      </w:r>
      <w:r w:rsidR="00C82027">
        <w:t>C investigation) would be provide</w:t>
      </w:r>
      <w:r w:rsidRPr="00917F3A">
        <w:t xml:space="preserve">d at </w:t>
      </w:r>
      <w:r w:rsidRPr="003970CD">
        <w:rPr>
          <w:u w:val="single"/>
        </w:rPr>
        <w:t>item</w:t>
      </w:r>
      <w:r w:rsidR="00F62CB4" w:rsidRPr="003970CD">
        <w:rPr>
          <w:u w:val="single"/>
        </w:rPr>
        <w:t xml:space="preserve"> 7</w:t>
      </w:r>
      <w:r w:rsidRPr="00917F3A">
        <w:t>.</w:t>
      </w:r>
    </w:p>
    <w:p w14:paraId="7CC4324C" w14:textId="77777777" w:rsidR="00917F3A" w:rsidRPr="00917F3A" w:rsidRDefault="00917F3A" w:rsidP="00917F3A">
      <w:pPr>
        <w:ind w:left="1440" w:hanging="720"/>
      </w:pPr>
    </w:p>
    <w:p w14:paraId="0DCA9156" w14:textId="563343BB" w:rsidR="00917F3A" w:rsidRPr="00917F3A" w:rsidRDefault="00917F3A" w:rsidP="00917F3A">
      <w:pPr>
        <w:ind w:left="720" w:hanging="720"/>
      </w:pPr>
      <w:r w:rsidRPr="00917F3A">
        <w:t>5.2</w:t>
      </w:r>
      <w:r w:rsidRPr="00917F3A">
        <w:tab/>
        <w:t>Board members were content with progress against other actions</w:t>
      </w:r>
      <w:r w:rsidR="003970CD">
        <w:t>.</w:t>
      </w:r>
    </w:p>
    <w:p w14:paraId="247D6980" w14:textId="3C98E20C" w:rsidR="00917F3A" w:rsidRPr="00917F3A" w:rsidRDefault="00917F3A" w:rsidP="00917F3A">
      <w:pPr>
        <w:ind w:left="1440" w:hanging="720"/>
      </w:pPr>
    </w:p>
    <w:p w14:paraId="4499C056" w14:textId="77777777" w:rsidR="00734190" w:rsidRDefault="00734190" w:rsidP="00734190">
      <w:pPr>
        <w:pStyle w:val="Heading1"/>
      </w:pPr>
      <w:r w:rsidRPr="00624A20">
        <w:t>6.</w:t>
      </w:r>
      <w:r w:rsidRPr="00624A20">
        <w:tab/>
      </w:r>
      <w:r>
        <w:t>Away-day readout</w:t>
      </w:r>
    </w:p>
    <w:p w14:paraId="597482C6" w14:textId="77777777" w:rsidR="00734190" w:rsidRDefault="00734190" w:rsidP="00734190">
      <w:pPr>
        <w:pStyle w:val="Heading1"/>
      </w:pPr>
    </w:p>
    <w:p w14:paraId="3B03E79A" w14:textId="63EE9313" w:rsidR="00734190" w:rsidRDefault="00734190" w:rsidP="00734190">
      <w:pPr>
        <w:pStyle w:val="NormalWeb"/>
        <w:spacing w:before="0" w:after="0"/>
        <w:ind w:left="720" w:hanging="720"/>
        <w:rPr>
          <w:rFonts w:eastAsiaTheme="minorEastAsia"/>
          <w:bCs/>
          <w:kern w:val="24"/>
        </w:rPr>
      </w:pPr>
      <w:r>
        <w:t>6.1</w:t>
      </w:r>
      <w:r>
        <w:tab/>
      </w:r>
      <w:r w:rsidRPr="00734190">
        <w:t xml:space="preserve">The Board </w:t>
      </w:r>
      <w:r w:rsidR="00AB46A2">
        <w:t xml:space="preserve">and officers </w:t>
      </w:r>
      <w:r w:rsidRPr="00734190">
        <w:t xml:space="preserve">reflected on the </w:t>
      </w:r>
      <w:r>
        <w:t>discussion at the S</w:t>
      </w:r>
      <w:r w:rsidRPr="00734190">
        <w:rPr>
          <w:rFonts w:eastAsiaTheme="minorEastAsia"/>
          <w:bCs/>
          <w:kern w:val="24"/>
        </w:rPr>
        <w:t>trategy and Scenario Planning</w:t>
      </w:r>
      <w:r w:rsidR="00FA7C56">
        <w:rPr>
          <w:rFonts w:eastAsiaTheme="minorEastAsia"/>
          <w:bCs/>
          <w:kern w:val="24"/>
        </w:rPr>
        <w:t xml:space="preserve"> a</w:t>
      </w:r>
      <w:r w:rsidR="008C30D0">
        <w:rPr>
          <w:rFonts w:eastAsiaTheme="minorEastAsia"/>
          <w:bCs/>
          <w:kern w:val="24"/>
        </w:rPr>
        <w:t>way</w:t>
      </w:r>
      <w:r w:rsidR="00FA7C56">
        <w:rPr>
          <w:rFonts w:eastAsiaTheme="minorEastAsia"/>
          <w:bCs/>
          <w:kern w:val="24"/>
        </w:rPr>
        <w:t xml:space="preserve"> </w:t>
      </w:r>
      <w:r w:rsidR="008C30D0">
        <w:rPr>
          <w:rFonts w:eastAsiaTheme="minorEastAsia"/>
          <w:bCs/>
          <w:kern w:val="24"/>
        </w:rPr>
        <w:t>day of 11 S</w:t>
      </w:r>
      <w:r>
        <w:rPr>
          <w:rFonts w:eastAsiaTheme="minorEastAsia"/>
          <w:bCs/>
          <w:kern w:val="24"/>
        </w:rPr>
        <w:t>eptember 2019 that had preceded the Boa</w:t>
      </w:r>
      <w:r w:rsidR="006F3D7B">
        <w:rPr>
          <w:rFonts w:eastAsiaTheme="minorEastAsia"/>
          <w:bCs/>
          <w:kern w:val="24"/>
        </w:rPr>
        <w:t>rd meeting</w:t>
      </w:r>
      <w:r>
        <w:rPr>
          <w:rFonts w:eastAsiaTheme="minorEastAsia"/>
          <w:bCs/>
          <w:kern w:val="24"/>
        </w:rPr>
        <w:t xml:space="preserve"> </w:t>
      </w:r>
    </w:p>
    <w:p w14:paraId="2AB6222D" w14:textId="77777777" w:rsidR="00734190" w:rsidRDefault="00734190" w:rsidP="00734190">
      <w:pPr>
        <w:pStyle w:val="NormalWeb"/>
        <w:spacing w:before="0" w:after="0"/>
        <w:ind w:left="720" w:hanging="720"/>
        <w:rPr>
          <w:rFonts w:eastAsiaTheme="minorEastAsia"/>
          <w:bCs/>
          <w:kern w:val="24"/>
        </w:rPr>
      </w:pPr>
    </w:p>
    <w:p w14:paraId="23F9F355" w14:textId="133025E1" w:rsidR="00734190" w:rsidRDefault="00734190" w:rsidP="00734190">
      <w:pPr>
        <w:pStyle w:val="NormalWeb"/>
        <w:spacing w:before="0" w:after="0"/>
        <w:ind w:left="720" w:hanging="720"/>
        <w:rPr>
          <w:rFonts w:eastAsiaTheme="minorEastAsia"/>
          <w:bCs/>
          <w:kern w:val="24"/>
        </w:rPr>
      </w:pPr>
      <w:r>
        <w:rPr>
          <w:rFonts w:eastAsiaTheme="minorEastAsia"/>
          <w:bCs/>
          <w:kern w:val="24"/>
        </w:rPr>
        <w:t>6.2</w:t>
      </w:r>
      <w:r>
        <w:rPr>
          <w:rFonts w:eastAsiaTheme="minorEastAsia"/>
          <w:bCs/>
          <w:kern w:val="24"/>
        </w:rPr>
        <w:tab/>
        <w:t xml:space="preserve">The discussion had generated the following </w:t>
      </w:r>
      <w:r w:rsidR="00E42B48">
        <w:rPr>
          <w:rFonts w:eastAsiaTheme="minorEastAsia"/>
          <w:bCs/>
          <w:kern w:val="24"/>
        </w:rPr>
        <w:t>key themes</w:t>
      </w:r>
      <w:r w:rsidR="00AB46A2">
        <w:rPr>
          <w:rFonts w:eastAsiaTheme="minorEastAsia"/>
          <w:bCs/>
          <w:kern w:val="24"/>
        </w:rPr>
        <w:t>, and the interlinkages between them</w:t>
      </w:r>
      <w:r>
        <w:rPr>
          <w:rFonts w:eastAsiaTheme="minorEastAsia"/>
          <w:bCs/>
          <w:kern w:val="24"/>
        </w:rPr>
        <w:t>.</w:t>
      </w:r>
    </w:p>
    <w:p w14:paraId="36EB77F9" w14:textId="77777777" w:rsidR="00734190" w:rsidRDefault="00734190" w:rsidP="00734190">
      <w:pPr>
        <w:pStyle w:val="NormalWeb"/>
        <w:spacing w:before="0" w:after="0"/>
        <w:ind w:left="720" w:hanging="720"/>
        <w:rPr>
          <w:rFonts w:eastAsiaTheme="minorEastAsia"/>
          <w:bCs/>
          <w:kern w:val="24"/>
        </w:rPr>
      </w:pPr>
    </w:p>
    <w:p w14:paraId="044CE9FE" w14:textId="4AA630A4" w:rsidR="00734190" w:rsidRDefault="00E42B48" w:rsidP="00E42B48">
      <w:pPr>
        <w:pStyle w:val="NormalWeb"/>
        <w:numPr>
          <w:ilvl w:val="0"/>
          <w:numId w:val="5"/>
        </w:numPr>
        <w:spacing w:before="0" w:after="0"/>
        <w:rPr>
          <w:rFonts w:eastAsiaTheme="minorEastAsia"/>
          <w:bCs/>
          <w:kern w:val="24"/>
        </w:rPr>
      </w:pPr>
      <w:r>
        <w:rPr>
          <w:rFonts w:eastAsiaTheme="minorEastAsia"/>
          <w:bCs/>
          <w:kern w:val="24"/>
        </w:rPr>
        <w:t>Ongoing support for the Commission</w:t>
      </w:r>
      <w:r w:rsidR="008435E3">
        <w:rPr>
          <w:rFonts w:eastAsiaTheme="minorEastAsia"/>
          <w:bCs/>
          <w:kern w:val="24"/>
        </w:rPr>
        <w:t>’</w:t>
      </w:r>
      <w:r>
        <w:rPr>
          <w:rFonts w:eastAsiaTheme="minorEastAsia"/>
          <w:bCs/>
          <w:kern w:val="24"/>
        </w:rPr>
        <w:t xml:space="preserve">s strategic priorities, </w:t>
      </w:r>
      <w:r w:rsidR="008435E3">
        <w:rPr>
          <w:rFonts w:eastAsiaTheme="minorEastAsia"/>
          <w:bCs/>
          <w:kern w:val="24"/>
        </w:rPr>
        <w:t xml:space="preserve">along with </w:t>
      </w:r>
      <w:r>
        <w:rPr>
          <w:rFonts w:eastAsiaTheme="minorEastAsia"/>
          <w:bCs/>
          <w:kern w:val="24"/>
        </w:rPr>
        <w:t xml:space="preserve">recognition that </w:t>
      </w:r>
      <w:r w:rsidR="008435E3">
        <w:rPr>
          <w:rFonts w:eastAsiaTheme="minorEastAsia"/>
          <w:bCs/>
          <w:kern w:val="24"/>
        </w:rPr>
        <w:t xml:space="preserve">- </w:t>
      </w:r>
      <w:r>
        <w:rPr>
          <w:rFonts w:eastAsiaTheme="minorEastAsia"/>
          <w:bCs/>
          <w:kern w:val="24"/>
        </w:rPr>
        <w:t>no</w:t>
      </w:r>
      <w:r w:rsidR="008435E3">
        <w:rPr>
          <w:rFonts w:eastAsiaTheme="minorEastAsia"/>
          <w:bCs/>
          <w:kern w:val="24"/>
        </w:rPr>
        <w:t>w</w:t>
      </w:r>
      <w:r>
        <w:rPr>
          <w:rFonts w:eastAsiaTheme="minorEastAsia"/>
          <w:bCs/>
          <w:kern w:val="24"/>
        </w:rPr>
        <w:t xml:space="preserve"> more than ever </w:t>
      </w:r>
      <w:r w:rsidR="008435E3">
        <w:rPr>
          <w:rFonts w:eastAsiaTheme="minorEastAsia"/>
          <w:bCs/>
          <w:kern w:val="24"/>
        </w:rPr>
        <w:t xml:space="preserve"> - the Commission needed </w:t>
      </w:r>
      <w:r>
        <w:rPr>
          <w:rFonts w:eastAsiaTheme="minorEastAsia"/>
          <w:bCs/>
          <w:kern w:val="24"/>
        </w:rPr>
        <w:t>to be responsive to external event</w:t>
      </w:r>
      <w:r w:rsidR="008435E3">
        <w:rPr>
          <w:rFonts w:eastAsiaTheme="minorEastAsia"/>
          <w:bCs/>
          <w:kern w:val="24"/>
        </w:rPr>
        <w:t>s</w:t>
      </w:r>
      <w:r>
        <w:rPr>
          <w:rFonts w:eastAsiaTheme="minorEastAsia"/>
          <w:bCs/>
          <w:kern w:val="24"/>
        </w:rPr>
        <w:t xml:space="preserve">, and </w:t>
      </w:r>
      <w:r w:rsidR="008435E3">
        <w:rPr>
          <w:rFonts w:eastAsiaTheme="minorEastAsia"/>
          <w:bCs/>
          <w:kern w:val="24"/>
        </w:rPr>
        <w:t>to ‘dial-</w:t>
      </w:r>
      <w:r>
        <w:rPr>
          <w:rFonts w:eastAsiaTheme="minorEastAsia"/>
          <w:bCs/>
          <w:kern w:val="24"/>
        </w:rPr>
        <w:t>up</w:t>
      </w:r>
      <w:r w:rsidR="008435E3">
        <w:rPr>
          <w:rFonts w:eastAsiaTheme="minorEastAsia"/>
          <w:bCs/>
          <w:kern w:val="24"/>
        </w:rPr>
        <w:t>’</w:t>
      </w:r>
      <w:r>
        <w:rPr>
          <w:rFonts w:eastAsiaTheme="minorEastAsia"/>
          <w:bCs/>
          <w:kern w:val="24"/>
        </w:rPr>
        <w:t xml:space="preserve"> or </w:t>
      </w:r>
      <w:r w:rsidR="008435E3">
        <w:rPr>
          <w:rFonts w:eastAsiaTheme="minorEastAsia"/>
          <w:bCs/>
          <w:kern w:val="24"/>
        </w:rPr>
        <w:t>‘dial-</w:t>
      </w:r>
      <w:r>
        <w:rPr>
          <w:rFonts w:eastAsiaTheme="minorEastAsia"/>
          <w:bCs/>
          <w:kern w:val="24"/>
        </w:rPr>
        <w:t>down</w:t>
      </w:r>
      <w:r w:rsidR="008435E3">
        <w:rPr>
          <w:rFonts w:eastAsiaTheme="minorEastAsia"/>
          <w:bCs/>
          <w:kern w:val="24"/>
        </w:rPr>
        <w:t>’</w:t>
      </w:r>
      <w:r>
        <w:rPr>
          <w:rFonts w:eastAsiaTheme="minorEastAsia"/>
          <w:bCs/>
          <w:kern w:val="24"/>
        </w:rPr>
        <w:t xml:space="preserve"> activities within those aims to </w:t>
      </w:r>
      <w:r w:rsidR="00BC7B11">
        <w:rPr>
          <w:rFonts w:eastAsiaTheme="minorEastAsia"/>
          <w:bCs/>
          <w:kern w:val="24"/>
        </w:rPr>
        <w:t xml:space="preserve">deliver </w:t>
      </w:r>
      <w:r w:rsidR="008435E3">
        <w:rPr>
          <w:rFonts w:eastAsiaTheme="minorEastAsia"/>
          <w:bCs/>
          <w:kern w:val="24"/>
        </w:rPr>
        <w:t>maximum</w:t>
      </w:r>
      <w:r w:rsidR="00BC7B11">
        <w:rPr>
          <w:rFonts w:eastAsiaTheme="minorEastAsia"/>
          <w:bCs/>
          <w:kern w:val="24"/>
        </w:rPr>
        <w:t xml:space="preserve"> impact under rapidly c</w:t>
      </w:r>
      <w:r>
        <w:rPr>
          <w:rFonts w:eastAsiaTheme="minorEastAsia"/>
          <w:bCs/>
          <w:kern w:val="24"/>
        </w:rPr>
        <w:t>hanging circumstances. This might involve</w:t>
      </w:r>
    </w:p>
    <w:p w14:paraId="335865CD" w14:textId="77777777" w:rsidR="00BC7B11" w:rsidRDefault="00BC7B11" w:rsidP="00BC7B11">
      <w:pPr>
        <w:pStyle w:val="NormalWeb"/>
        <w:spacing w:before="0" w:after="0"/>
        <w:ind w:left="1440"/>
        <w:rPr>
          <w:rFonts w:eastAsiaTheme="minorEastAsia"/>
          <w:bCs/>
          <w:kern w:val="24"/>
        </w:rPr>
      </w:pPr>
    </w:p>
    <w:p w14:paraId="041FA8FF" w14:textId="6916FE5A" w:rsidR="00734190" w:rsidRDefault="00E42B48" w:rsidP="00BC7B11">
      <w:pPr>
        <w:pStyle w:val="NormalWeb"/>
        <w:spacing w:before="0" w:after="0"/>
        <w:ind w:left="2160" w:hanging="720"/>
        <w:rPr>
          <w:rFonts w:eastAsiaTheme="minorEastAsia"/>
          <w:bCs/>
          <w:kern w:val="24"/>
        </w:rPr>
      </w:pPr>
      <w:r>
        <w:rPr>
          <w:rFonts w:eastAsiaTheme="minorEastAsia"/>
          <w:bCs/>
          <w:kern w:val="24"/>
        </w:rPr>
        <w:t>-</w:t>
      </w:r>
      <w:r w:rsidR="00734190">
        <w:rPr>
          <w:rFonts w:eastAsiaTheme="minorEastAsia"/>
          <w:bCs/>
          <w:kern w:val="24"/>
        </w:rPr>
        <w:tab/>
      </w:r>
      <w:proofErr w:type="gramStart"/>
      <w:r>
        <w:rPr>
          <w:rFonts w:eastAsiaTheme="minorEastAsia"/>
          <w:bCs/>
          <w:kern w:val="24"/>
        </w:rPr>
        <w:t>strategic</w:t>
      </w:r>
      <w:proofErr w:type="gramEnd"/>
      <w:r>
        <w:rPr>
          <w:rFonts w:eastAsiaTheme="minorEastAsia"/>
          <w:bCs/>
          <w:kern w:val="24"/>
        </w:rPr>
        <w:t>, but light touch, involvement of C</w:t>
      </w:r>
      <w:r w:rsidR="008435E3">
        <w:rPr>
          <w:rFonts w:eastAsiaTheme="minorEastAsia"/>
          <w:bCs/>
          <w:kern w:val="24"/>
        </w:rPr>
        <w:t>o</w:t>
      </w:r>
      <w:r>
        <w:rPr>
          <w:rFonts w:eastAsiaTheme="minorEastAsia"/>
          <w:bCs/>
          <w:kern w:val="24"/>
        </w:rPr>
        <w:t xml:space="preserve">mmissioners in </w:t>
      </w:r>
      <w:r w:rsidR="00782FA6">
        <w:rPr>
          <w:rFonts w:eastAsiaTheme="minorEastAsia"/>
          <w:bCs/>
          <w:kern w:val="24"/>
        </w:rPr>
        <w:t>considering priorities in each priority aim</w:t>
      </w:r>
      <w:r w:rsidR="006F3D7B">
        <w:rPr>
          <w:rFonts w:eastAsiaTheme="minorEastAsia"/>
          <w:bCs/>
          <w:kern w:val="24"/>
        </w:rPr>
        <w:t>;</w:t>
      </w:r>
    </w:p>
    <w:p w14:paraId="4C223F45" w14:textId="0748D406" w:rsidR="00E42B48" w:rsidRDefault="00F62CB4" w:rsidP="00BC7B11">
      <w:pPr>
        <w:pStyle w:val="NormalWeb"/>
        <w:spacing w:before="0" w:after="0"/>
        <w:ind w:left="2160" w:hanging="720"/>
        <w:rPr>
          <w:rFonts w:eastAsiaTheme="minorEastAsia"/>
          <w:bCs/>
          <w:kern w:val="24"/>
        </w:rPr>
      </w:pPr>
      <w:r>
        <w:rPr>
          <w:rFonts w:eastAsiaTheme="minorEastAsia"/>
          <w:bCs/>
          <w:kern w:val="24"/>
        </w:rPr>
        <w:t>-</w:t>
      </w:r>
      <w:r>
        <w:rPr>
          <w:rFonts w:eastAsiaTheme="minorEastAsia"/>
          <w:bCs/>
          <w:kern w:val="24"/>
        </w:rPr>
        <w:tab/>
      </w:r>
      <w:proofErr w:type="gramStart"/>
      <w:r>
        <w:rPr>
          <w:rFonts w:eastAsiaTheme="minorEastAsia"/>
          <w:bCs/>
          <w:kern w:val="24"/>
        </w:rPr>
        <w:t>a</w:t>
      </w:r>
      <w:proofErr w:type="gramEnd"/>
      <w:r>
        <w:rPr>
          <w:rFonts w:eastAsiaTheme="minorEastAsia"/>
          <w:bCs/>
          <w:kern w:val="24"/>
        </w:rPr>
        <w:t xml:space="preserve"> leaner and more effi</w:t>
      </w:r>
      <w:r w:rsidR="00E42B48">
        <w:rPr>
          <w:rFonts w:eastAsiaTheme="minorEastAsia"/>
          <w:bCs/>
          <w:kern w:val="24"/>
        </w:rPr>
        <w:t>c</w:t>
      </w:r>
      <w:r>
        <w:rPr>
          <w:rFonts w:eastAsiaTheme="minorEastAsia"/>
          <w:bCs/>
          <w:kern w:val="24"/>
        </w:rPr>
        <w:t>ien</w:t>
      </w:r>
      <w:r w:rsidR="00E42B48">
        <w:rPr>
          <w:rFonts w:eastAsiaTheme="minorEastAsia"/>
          <w:bCs/>
          <w:kern w:val="24"/>
        </w:rPr>
        <w:t>t business planning process</w:t>
      </w:r>
      <w:r w:rsidR="006F3D7B">
        <w:rPr>
          <w:rFonts w:eastAsiaTheme="minorEastAsia"/>
          <w:bCs/>
          <w:kern w:val="24"/>
        </w:rPr>
        <w:t>;</w:t>
      </w:r>
    </w:p>
    <w:p w14:paraId="250D8529" w14:textId="6312FA23" w:rsidR="00AB46A2" w:rsidRDefault="00E42B48" w:rsidP="00AB46A2">
      <w:pPr>
        <w:pStyle w:val="NormalWeb"/>
        <w:spacing w:before="0" w:after="0"/>
        <w:ind w:left="2160" w:hanging="720"/>
        <w:rPr>
          <w:rFonts w:eastAsiaTheme="minorEastAsia"/>
          <w:bCs/>
          <w:kern w:val="24"/>
        </w:rPr>
      </w:pPr>
      <w:r>
        <w:rPr>
          <w:rFonts w:eastAsiaTheme="minorEastAsia"/>
          <w:bCs/>
          <w:kern w:val="24"/>
        </w:rPr>
        <w:t>-</w:t>
      </w:r>
      <w:r>
        <w:rPr>
          <w:rFonts w:eastAsiaTheme="minorEastAsia"/>
          <w:bCs/>
          <w:kern w:val="24"/>
        </w:rPr>
        <w:tab/>
      </w:r>
      <w:proofErr w:type="gramStart"/>
      <w:r w:rsidR="00BC7B11">
        <w:rPr>
          <w:rFonts w:eastAsiaTheme="minorEastAsia"/>
          <w:bCs/>
          <w:kern w:val="24"/>
        </w:rPr>
        <w:t>robust</w:t>
      </w:r>
      <w:proofErr w:type="gramEnd"/>
      <w:r w:rsidR="00BC7B11">
        <w:rPr>
          <w:rFonts w:eastAsiaTheme="minorEastAsia"/>
          <w:bCs/>
          <w:kern w:val="24"/>
        </w:rPr>
        <w:t xml:space="preserve"> </w:t>
      </w:r>
      <w:r>
        <w:rPr>
          <w:rFonts w:eastAsiaTheme="minorEastAsia"/>
          <w:bCs/>
          <w:kern w:val="24"/>
        </w:rPr>
        <w:t>and persuasive narra</w:t>
      </w:r>
      <w:r w:rsidR="00BC7B11">
        <w:rPr>
          <w:rFonts w:eastAsiaTheme="minorEastAsia"/>
          <w:bCs/>
          <w:kern w:val="24"/>
        </w:rPr>
        <w:t>tives for different scenarios</w:t>
      </w:r>
      <w:r w:rsidR="00AB46A2">
        <w:rPr>
          <w:rFonts w:eastAsiaTheme="minorEastAsia"/>
          <w:bCs/>
          <w:kern w:val="24"/>
        </w:rPr>
        <w:t>.</w:t>
      </w:r>
    </w:p>
    <w:p w14:paraId="5161D604" w14:textId="77777777" w:rsidR="00BC7B11" w:rsidRDefault="00BC7B11" w:rsidP="00734190">
      <w:pPr>
        <w:pStyle w:val="NormalWeb"/>
        <w:spacing w:before="0" w:after="0"/>
        <w:ind w:left="720" w:hanging="720"/>
        <w:rPr>
          <w:rFonts w:eastAsiaTheme="minorEastAsia"/>
          <w:bCs/>
          <w:kern w:val="24"/>
        </w:rPr>
      </w:pPr>
    </w:p>
    <w:p w14:paraId="65032DC9" w14:textId="766A6CA0" w:rsidR="00BC7B11" w:rsidRDefault="00BC7B11" w:rsidP="00BC7B11">
      <w:pPr>
        <w:pStyle w:val="NormalWeb"/>
        <w:numPr>
          <w:ilvl w:val="0"/>
          <w:numId w:val="5"/>
        </w:numPr>
        <w:spacing w:before="0" w:after="0"/>
        <w:rPr>
          <w:rFonts w:eastAsiaTheme="minorEastAsia"/>
          <w:bCs/>
          <w:kern w:val="24"/>
        </w:rPr>
      </w:pPr>
      <w:r>
        <w:rPr>
          <w:rFonts w:eastAsiaTheme="minorEastAsia"/>
          <w:bCs/>
          <w:kern w:val="24"/>
        </w:rPr>
        <w:lastRenderedPageBreak/>
        <w:t xml:space="preserve">The need for greater clarity over the </w:t>
      </w:r>
      <w:r w:rsidR="0069718F">
        <w:rPr>
          <w:rFonts w:eastAsiaTheme="minorEastAsia"/>
          <w:bCs/>
          <w:kern w:val="24"/>
        </w:rPr>
        <w:t>irreducible</w:t>
      </w:r>
      <w:r>
        <w:rPr>
          <w:rFonts w:eastAsiaTheme="minorEastAsia"/>
          <w:bCs/>
          <w:kern w:val="24"/>
        </w:rPr>
        <w:t xml:space="preserve"> core of what the Commission stood for, and how this was manifested in its activi</w:t>
      </w:r>
      <w:r w:rsidR="00F62CB4">
        <w:rPr>
          <w:rFonts w:eastAsiaTheme="minorEastAsia"/>
          <w:bCs/>
          <w:kern w:val="24"/>
        </w:rPr>
        <w:t>t</w:t>
      </w:r>
      <w:r>
        <w:rPr>
          <w:rFonts w:eastAsiaTheme="minorEastAsia"/>
          <w:bCs/>
          <w:kern w:val="24"/>
        </w:rPr>
        <w:t>ies</w:t>
      </w:r>
      <w:r w:rsidR="00E42B48">
        <w:rPr>
          <w:rFonts w:eastAsiaTheme="minorEastAsia"/>
          <w:bCs/>
          <w:kern w:val="24"/>
        </w:rPr>
        <w:t xml:space="preserve"> </w:t>
      </w:r>
    </w:p>
    <w:p w14:paraId="7ED31858" w14:textId="0FFAA42D" w:rsidR="00734190" w:rsidRDefault="00734190" w:rsidP="00BC7B11">
      <w:pPr>
        <w:pStyle w:val="NormalWeb"/>
        <w:spacing w:before="0" w:after="0"/>
        <w:ind w:left="1440"/>
        <w:rPr>
          <w:rFonts w:eastAsiaTheme="minorEastAsia"/>
          <w:bCs/>
          <w:kern w:val="24"/>
        </w:rPr>
      </w:pPr>
    </w:p>
    <w:p w14:paraId="27DF97C1" w14:textId="77BA3B16" w:rsidR="00734190" w:rsidRDefault="006F3D7B" w:rsidP="00BC7B11">
      <w:pPr>
        <w:pStyle w:val="NormalWeb"/>
        <w:numPr>
          <w:ilvl w:val="0"/>
          <w:numId w:val="5"/>
        </w:numPr>
        <w:spacing w:before="0" w:after="0"/>
        <w:rPr>
          <w:rFonts w:eastAsiaTheme="minorEastAsia"/>
          <w:bCs/>
          <w:kern w:val="24"/>
        </w:rPr>
      </w:pPr>
      <w:r>
        <w:rPr>
          <w:rFonts w:eastAsiaTheme="minorEastAsia"/>
          <w:bCs/>
          <w:kern w:val="24"/>
        </w:rPr>
        <w:t>i</w:t>
      </w:r>
      <w:r w:rsidR="00BC7B11">
        <w:rPr>
          <w:rFonts w:eastAsiaTheme="minorEastAsia"/>
          <w:bCs/>
          <w:kern w:val="24"/>
        </w:rPr>
        <w:t>nfluencing and stakeholder engagement</w:t>
      </w:r>
      <w:r>
        <w:rPr>
          <w:rFonts w:eastAsiaTheme="minorEastAsia"/>
          <w:bCs/>
          <w:kern w:val="24"/>
        </w:rPr>
        <w:t>, which</w:t>
      </w:r>
      <w:r w:rsidR="00BC7B11">
        <w:rPr>
          <w:rFonts w:eastAsiaTheme="minorEastAsia"/>
          <w:bCs/>
          <w:kern w:val="24"/>
        </w:rPr>
        <w:t xml:space="preserve"> remained critic</w:t>
      </w:r>
      <w:r w:rsidR="008435E3">
        <w:rPr>
          <w:rFonts w:eastAsiaTheme="minorEastAsia"/>
          <w:bCs/>
          <w:kern w:val="24"/>
        </w:rPr>
        <w:t xml:space="preserve">al to the Commission’s </w:t>
      </w:r>
      <w:r w:rsidR="0069718F">
        <w:rPr>
          <w:rFonts w:eastAsiaTheme="minorEastAsia"/>
          <w:bCs/>
          <w:kern w:val="24"/>
        </w:rPr>
        <w:t>mission</w:t>
      </w:r>
      <w:r>
        <w:rPr>
          <w:rFonts w:eastAsiaTheme="minorEastAsia"/>
          <w:bCs/>
          <w:kern w:val="24"/>
        </w:rPr>
        <w:t>;</w:t>
      </w:r>
    </w:p>
    <w:p w14:paraId="13EAA328" w14:textId="77777777" w:rsidR="00BC7B11" w:rsidRDefault="00BC7B11" w:rsidP="00734190">
      <w:pPr>
        <w:pStyle w:val="NormalWeb"/>
        <w:spacing w:before="0" w:after="0"/>
        <w:ind w:left="720" w:hanging="720"/>
        <w:rPr>
          <w:rFonts w:eastAsiaTheme="minorEastAsia"/>
          <w:bCs/>
          <w:kern w:val="24"/>
        </w:rPr>
      </w:pPr>
    </w:p>
    <w:p w14:paraId="6BB613C3" w14:textId="1F180666" w:rsidR="00AB46A2" w:rsidRDefault="00BC7B11" w:rsidP="00400CF1">
      <w:pPr>
        <w:pStyle w:val="NormalWeb"/>
        <w:numPr>
          <w:ilvl w:val="0"/>
          <w:numId w:val="5"/>
        </w:numPr>
        <w:spacing w:before="0" w:after="0"/>
        <w:rPr>
          <w:rFonts w:eastAsiaTheme="minorEastAsia"/>
          <w:bCs/>
          <w:kern w:val="24"/>
        </w:rPr>
      </w:pPr>
      <w:proofErr w:type="gramStart"/>
      <w:r w:rsidRPr="00AB46A2">
        <w:rPr>
          <w:rFonts w:eastAsiaTheme="minorEastAsia"/>
          <w:bCs/>
          <w:kern w:val="24"/>
        </w:rPr>
        <w:t>a</w:t>
      </w:r>
      <w:proofErr w:type="gramEnd"/>
      <w:r w:rsidRPr="00AB46A2">
        <w:rPr>
          <w:rFonts w:eastAsiaTheme="minorEastAsia"/>
          <w:bCs/>
          <w:kern w:val="24"/>
        </w:rPr>
        <w:t xml:space="preserve"> distinct and dynam</w:t>
      </w:r>
      <w:r w:rsidR="006F3D7B">
        <w:rPr>
          <w:rFonts w:eastAsiaTheme="minorEastAsia"/>
          <w:bCs/>
          <w:kern w:val="24"/>
        </w:rPr>
        <w:t>ic role. The C</w:t>
      </w:r>
      <w:r w:rsidRPr="00AB46A2">
        <w:rPr>
          <w:rFonts w:eastAsiaTheme="minorEastAsia"/>
          <w:bCs/>
          <w:kern w:val="24"/>
        </w:rPr>
        <w:t xml:space="preserve">ommission should </w:t>
      </w:r>
      <w:r w:rsidR="00AB46A2" w:rsidRPr="00AB46A2">
        <w:rPr>
          <w:rFonts w:eastAsiaTheme="minorEastAsia"/>
          <w:bCs/>
          <w:kern w:val="24"/>
        </w:rPr>
        <w:t>feel confident in asserting its position, and being on the front foot on complex or contentious</w:t>
      </w:r>
      <w:r w:rsidR="00F62CB4">
        <w:rPr>
          <w:rFonts w:eastAsiaTheme="minorEastAsia"/>
          <w:bCs/>
          <w:kern w:val="24"/>
        </w:rPr>
        <w:t xml:space="preserve"> issues</w:t>
      </w:r>
      <w:r w:rsidR="00AB46A2">
        <w:rPr>
          <w:rFonts w:eastAsiaTheme="minorEastAsia"/>
          <w:bCs/>
          <w:kern w:val="24"/>
        </w:rPr>
        <w:t>.</w:t>
      </w:r>
    </w:p>
    <w:p w14:paraId="451A4BE4" w14:textId="77777777" w:rsidR="00AB46A2" w:rsidRDefault="00AB46A2" w:rsidP="00AB46A2">
      <w:pPr>
        <w:pStyle w:val="ListParagraph"/>
        <w:rPr>
          <w:rFonts w:eastAsiaTheme="minorEastAsia"/>
          <w:bCs/>
          <w:kern w:val="24"/>
        </w:rPr>
      </w:pPr>
    </w:p>
    <w:p w14:paraId="0BA6AAB7" w14:textId="3FA41780" w:rsidR="00AB46A2" w:rsidRDefault="00AB46A2" w:rsidP="00E268BA">
      <w:pPr>
        <w:pStyle w:val="NormalWeb"/>
        <w:spacing w:before="0" w:after="0"/>
        <w:ind w:left="720" w:hanging="720"/>
        <w:rPr>
          <w:rFonts w:eastAsiaTheme="minorEastAsia"/>
          <w:bCs/>
          <w:kern w:val="24"/>
        </w:rPr>
      </w:pPr>
      <w:r>
        <w:rPr>
          <w:rFonts w:eastAsiaTheme="minorEastAsia"/>
          <w:bCs/>
          <w:kern w:val="24"/>
        </w:rPr>
        <w:t>6.3</w:t>
      </w:r>
      <w:r>
        <w:rPr>
          <w:rFonts w:eastAsiaTheme="minorEastAsia"/>
          <w:bCs/>
          <w:kern w:val="24"/>
        </w:rPr>
        <w:tab/>
        <w:t>Commissioners further noted</w:t>
      </w:r>
      <w:r w:rsidR="00E268BA">
        <w:rPr>
          <w:rFonts w:eastAsiaTheme="minorEastAsia"/>
          <w:bCs/>
          <w:kern w:val="24"/>
        </w:rPr>
        <w:t xml:space="preserve"> </w:t>
      </w:r>
      <w:r w:rsidR="00F62CB4">
        <w:rPr>
          <w:rFonts w:eastAsiaTheme="minorEastAsia"/>
          <w:bCs/>
          <w:kern w:val="24"/>
        </w:rPr>
        <w:t xml:space="preserve">additional complications and </w:t>
      </w:r>
      <w:r>
        <w:rPr>
          <w:rFonts w:eastAsiaTheme="minorEastAsia"/>
          <w:bCs/>
          <w:kern w:val="24"/>
        </w:rPr>
        <w:t>uncertainties of the</w:t>
      </w:r>
      <w:r w:rsidR="00466E7C">
        <w:rPr>
          <w:rFonts w:eastAsiaTheme="minorEastAsia"/>
          <w:bCs/>
          <w:kern w:val="24"/>
        </w:rPr>
        <w:t xml:space="preserve"> </w:t>
      </w:r>
      <w:r>
        <w:rPr>
          <w:rFonts w:eastAsiaTheme="minorEastAsia"/>
          <w:bCs/>
          <w:kern w:val="24"/>
        </w:rPr>
        <w:t>devolution and decentralis</w:t>
      </w:r>
      <w:r w:rsidR="00466E7C">
        <w:rPr>
          <w:rFonts w:eastAsiaTheme="minorEastAsia"/>
          <w:bCs/>
          <w:kern w:val="24"/>
        </w:rPr>
        <w:t>at</w:t>
      </w:r>
      <w:r>
        <w:rPr>
          <w:rFonts w:eastAsiaTheme="minorEastAsia"/>
          <w:bCs/>
          <w:kern w:val="24"/>
        </w:rPr>
        <w:t>ion agendas, and the prospect o</w:t>
      </w:r>
      <w:r w:rsidR="00F62CB4">
        <w:rPr>
          <w:rFonts w:eastAsiaTheme="minorEastAsia"/>
          <w:bCs/>
          <w:kern w:val="24"/>
        </w:rPr>
        <w:t>f a second independence referen</w:t>
      </w:r>
      <w:r>
        <w:rPr>
          <w:rFonts w:eastAsiaTheme="minorEastAsia"/>
          <w:bCs/>
          <w:kern w:val="24"/>
        </w:rPr>
        <w:t>dum in Scotland.</w:t>
      </w:r>
    </w:p>
    <w:p w14:paraId="1CD0F998" w14:textId="77777777" w:rsidR="00AB46A2" w:rsidRDefault="00AB46A2" w:rsidP="00E268BA">
      <w:pPr>
        <w:pStyle w:val="NormalWeb"/>
        <w:spacing w:before="0" w:after="0"/>
        <w:ind w:left="720" w:hanging="720"/>
        <w:rPr>
          <w:rFonts w:eastAsiaTheme="minorEastAsia"/>
          <w:bCs/>
          <w:kern w:val="24"/>
        </w:rPr>
      </w:pPr>
    </w:p>
    <w:p w14:paraId="7F70F967" w14:textId="15DC915E" w:rsidR="00E268BA" w:rsidRPr="00D7394A" w:rsidRDefault="00E268BA" w:rsidP="00D7394A">
      <w:pPr>
        <w:pStyle w:val="NormalWeb"/>
        <w:spacing w:before="0" w:after="0"/>
        <w:ind w:left="720" w:hanging="720"/>
        <w:rPr>
          <w:rFonts w:eastAsiaTheme="minorEastAsia"/>
          <w:b/>
          <w:bCs/>
          <w:kern w:val="24"/>
        </w:rPr>
      </w:pPr>
      <w:r>
        <w:rPr>
          <w:rFonts w:eastAsiaTheme="minorEastAsia"/>
          <w:bCs/>
          <w:kern w:val="24"/>
        </w:rPr>
        <w:t>6.4</w:t>
      </w:r>
      <w:r w:rsidR="00734190">
        <w:rPr>
          <w:rFonts w:eastAsiaTheme="minorEastAsia"/>
          <w:bCs/>
          <w:kern w:val="24"/>
        </w:rPr>
        <w:tab/>
        <w:t>The Board</w:t>
      </w:r>
      <w:r w:rsidR="006F3D7B">
        <w:rPr>
          <w:rFonts w:eastAsiaTheme="minorEastAsia"/>
          <w:bCs/>
          <w:kern w:val="24"/>
        </w:rPr>
        <w:t xml:space="preserve"> and senior o</w:t>
      </w:r>
      <w:r w:rsidR="00AB46A2">
        <w:rPr>
          <w:rFonts w:eastAsiaTheme="minorEastAsia"/>
          <w:bCs/>
          <w:kern w:val="24"/>
        </w:rPr>
        <w:t>ffice</w:t>
      </w:r>
      <w:r w:rsidR="006F3D7B">
        <w:rPr>
          <w:rFonts w:eastAsiaTheme="minorEastAsia"/>
          <w:bCs/>
          <w:kern w:val="24"/>
        </w:rPr>
        <w:t>r</w:t>
      </w:r>
      <w:r w:rsidR="00AB46A2">
        <w:rPr>
          <w:rFonts w:eastAsiaTheme="minorEastAsia"/>
          <w:bCs/>
          <w:kern w:val="24"/>
        </w:rPr>
        <w:t xml:space="preserve">s </w:t>
      </w:r>
      <w:r w:rsidR="006F3D7B">
        <w:rPr>
          <w:rFonts w:eastAsiaTheme="minorEastAsia"/>
          <w:bCs/>
          <w:kern w:val="24"/>
        </w:rPr>
        <w:t xml:space="preserve">attending </w:t>
      </w:r>
      <w:r w:rsidR="00AB46A2">
        <w:rPr>
          <w:rFonts w:eastAsiaTheme="minorEastAsia"/>
          <w:bCs/>
          <w:kern w:val="24"/>
        </w:rPr>
        <w:t>agreed that this had been a productive exercise</w:t>
      </w:r>
      <w:r w:rsidR="00734190">
        <w:rPr>
          <w:rFonts w:eastAsiaTheme="minorEastAsia"/>
          <w:bCs/>
          <w:kern w:val="24"/>
        </w:rPr>
        <w:t xml:space="preserve">, and </w:t>
      </w:r>
      <w:r w:rsidR="00AB46A2">
        <w:rPr>
          <w:rFonts w:eastAsiaTheme="minorEastAsia"/>
          <w:bCs/>
          <w:kern w:val="24"/>
        </w:rPr>
        <w:t xml:space="preserve">David Isaac asked </w:t>
      </w:r>
      <w:r w:rsidR="008C30D0">
        <w:rPr>
          <w:rFonts w:eastAsiaTheme="minorEastAsia"/>
          <w:bCs/>
          <w:kern w:val="24"/>
        </w:rPr>
        <w:t xml:space="preserve">officers to address the issues raised in the course of business. He asked that a </w:t>
      </w:r>
      <w:r w:rsidR="00AB46A2">
        <w:rPr>
          <w:rFonts w:eastAsiaTheme="minorEastAsia"/>
          <w:bCs/>
          <w:kern w:val="24"/>
        </w:rPr>
        <w:t xml:space="preserve">further </w:t>
      </w:r>
      <w:r w:rsidR="00782FA6">
        <w:rPr>
          <w:rFonts w:eastAsiaTheme="minorEastAsia"/>
          <w:bCs/>
          <w:kern w:val="24"/>
        </w:rPr>
        <w:t xml:space="preserve">away day </w:t>
      </w:r>
      <w:r w:rsidR="00AB46A2">
        <w:rPr>
          <w:rFonts w:eastAsiaTheme="minorEastAsia"/>
          <w:bCs/>
          <w:kern w:val="24"/>
        </w:rPr>
        <w:t>be reconvened at the time of the Board’s</w:t>
      </w:r>
      <w:r w:rsidR="00734190">
        <w:rPr>
          <w:rFonts w:eastAsiaTheme="minorEastAsia"/>
          <w:bCs/>
          <w:kern w:val="24"/>
        </w:rPr>
        <w:t xml:space="preserve"> January 2020 meeting.</w:t>
      </w:r>
      <w:r w:rsidRPr="00E268BA">
        <w:rPr>
          <w:rFonts w:eastAsiaTheme="minorEastAsia"/>
          <w:bCs/>
          <w:kern w:val="24"/>
        </w:rPr>
        <w:t xml:space="preserve"> </w:t>
      </w:r>
      <w:r w:rsidRPr="00E268BA">
        <w:rPr>
          <w:rFonts w:eastAsiaTheme="minorEastAsia"/>
          <w:b/>
          <w:bCs/>
          <w:kern w:val="24"/>
        </w:rPr>
        <w:t>A</w:t>
      </w:r>
      <w:r w:rsidR="00D7394A">
        <w:rPr>
          <w:rFonts w:eastAsiaTheme="minorEastAsia"/>
          <w:b/>
          <w:bCs/>
          <w:kern w:val="24"/>
        </w:rPr>
        <w:t>ction: Tessa Griffiths/Sarah Macl</w:t>
      </w:r>
      <w:r w:rsidRPr="00E268BA">
        <w:rPr>
          <w:rFonts w:eastAsiaTheme="minorEastAsia"/>
          <w:b/>
          <w:bCs/>
          <w:kern w:val="24"/>
        </w:rPr>
        <w:t>ean</w:t>
      </w:r>
      <w:r>
        <w:rPr>
          <w:rFonts w:eastAsiaTheme="minorEastAsia"/>
          <w:bCs/>
          <w:kern w:val="24"/>
        </w:rPr>
        <w:t xml:space="preserve"> to progress</w:t>
      </w:r>
      <w:r w:rsidR="006F3D7B">
        <w:rPr>
          <w:rFonts w:eastAsiaTheme="minorEastAsia"/>
          <w:bCs/>
          <w:kern w:val="24"/>
        </w:rPr>
        <w:t>.</w:t>
      </w:r>
    </w:p>
    <w:p w14:paraId="72FE27E2" w14:textId="48612E3A" w:rsidR="00734190" w:rsidRDefault="00734190" w:rsidP="00E268BA">
      <w:pPr>
        <w:pStyle w:val="NormalWeb"/>
        <w:spacing w:before="0" w:after="0"/>
        <w:ind w:left="720" w:hanging="720"/>
        <w:rPr>
          <w:rFonts w:eastAsiaTheme="minorEastAsia"/>
          <w:bCs/>
          <w:kern w:val="24"/>
        </w:rPr>
      </w:pPr>
    </w:p>
    <w:p w14:paraId="42596505" w14:textId="7E545DA8" w:rsidR="00E268BA" w:rsidRDefault="00E268BA" w:rsidP="00E268BA">
      <w:pPr>
        <w:pStyle w:val="NormalWeb"/>
        <w:spacing w:before="0" w:after="0"/>
        <w:ind w:left="720" w:hanging="720"/>
        <w:rPr>
          <w:rFonts w:eastAsiaTheme="minorEastAsia"/>
          <w:bCs/>
          <w:kern w:val="24"/>
        </w:rPr>
      </w:pPr>
    </w:p>
    <w:p w14:paraId="64E73160" w14:textId="00885B72" w:rsidR="00734190" w:rsidRPr="00522B4A" w:rsidRDefault="00734190" w:rsidP="00E04E16">
      <w:pPr>
        <w:rPr>
          <w:rFonts w:cs="Arial"/>
          <w:b/>
        </w:rPr>
      </w:pPr>
      <w:r>
        <w:rPr>
          <w:rFonts w:cs="Arial"/>
          <w:b/>
        </w:rPr>
        <w:t>7.</w:t>
      </w:r>
      <w:r>
        <w:rPr>
          <w:rFonts w:cs="Arial"/>
          <w:b/>
        </w:rPr>
        <w:tab/>
      </w:r>
      <w:r w:rsidRPr="00522B4A">
        <w:rPr>
          <w:rFonts w:cs="Arial"/>
          <w:b/>
        </w:rPr>
        <w:t xml:space="preserve">Commissioner updates </w:t>
      </w:r>
    </w:p>
    <w:p w14:paraId="2DEDF455" w14:textId="77777777" w:rsidR="00734190" w:rsidRDefault="00734190" w:rsidP="00E04E16">
      <w:pPr>
        <w:ind w:left="567" w:hanging="567"/>
        <w:rPr>
          <w:b/>
        </w:rPr>
      </w:pPr>
    </w:p>
    <w:p w14:paraId="76C441DB" w14:textId="2670369A" w:rsidR="00734190" w:rsidRPr="000F6485" w:rsidRDefault="00F62CB4" w:rsidP="00B67118">
      <w:pPr>
        <w:ind w:left="720" w:hanging="720"/>
      </w:pPr>
      <w:r>
        <w:t xml:space="preserve">7.1 </w:t>
      </w:r>
      <w:r>
        <w:tab/>
        <w:t>Lesley Sawers</w:t>
      </w:r>
      <w:r w:rsidR="00B67118">
        <w:t xml:space="preserve"> </w:t>
      </w:r>
      <w:r w:rsidR="00734190" w:rsidRPr="00734190">
        <w:t xml:space="preserve">provided a summary of the </w:t>
      </w:r>
      <w:r w:rsidR="00734190" w:rsidRPr="00B67118">
        <w:t>Scotland Annual Review,</w:t>
      </w:r>
      <w:r w:rsidR="00734190" w:rsidRPr="00734190">
        <w:t xml:space="preserve"> which </w:t>
      </w:r>
      <w:r w:rsidR="00734190" w:rsidRPr="000F6485">
        <w:t xml:space="preserve">had been circulated as </w:t>
      </w:r>
      <w:r>
        <w:t xml:space="preserve">paper </w:t>
      </w:r>
      <w:r w:rsidRPr="00F62CB4">
        <w:rPr>
          <w:u w:val="single"/>
        </w:rPr>
        <w:t>EHRC 85.03</w:t>
      </w:r>
      <w:r w:rsidR="00734190" w:rsidRPr="000F6485">
        <w:rPr>
          <w:b/>
        </w:rPr>
        <w:t>.</w:t>
      </w:r>
      <w:r w:rsidR="00734190" w:rsidRPr="000F6485">
        <w:t xml:space="preserve"> </w:t>
      </w:r>
      <w:r w:rsidR="00B67118">
        <w:t>Board members noted</w:t>
      </w:r>
      <w:r w:rsidR="00734190" w:rsidRPr="000F6485">
        <w:t>:</w:t>
      </w:r>
    </w:p>
    <w:p w14:paraId="746578F2" w14:textId="77777777" w:rsidR="003D6093" w:rsidRPr="000F6485" w:rsidRDefault="003D6093" w:rsidP="00E04E16">
      <w:pPr>
        <w:ind w:left="720" w:hanging="720"/>
      </w:pPr>
    </w:p>
    <w:p w14:paraId="6763E348" w14:textId="6DC9B4FB" w:rsidR="00CB0F7C" w:rsidRDefault="003D6093" w:rsidP="00F97804">
      <w:pPr>
        <w:ind w:left="1440" w:hanging="720"/>
      </w:pPr>
      <w:r w:rsidRPr="000F6485">
        <w:t>a)</w:t>
      </w:r>
      <w:r w:rsidRPr="000F6485">
        <w:tab/>
      </w:r>
      <w:r w:rsidR="00CB0F7C">
        <w:t>the volume and scope of the Commission</w:t>
      </w:r>
      <w:r w:rsidR="006F3D7B">
        <w:t>’</w:t>
      </w:r>
      <w:r w:rsidR="00CB0F7C">
        <w:t xml:space="preserve">s work in Scotland, and in particular its ongoing </w:t>
      </w:r>
      <w:r w:rsidR="008C30D0">
        <w:rPr>
          <w:rFonts w:cs="Arial"/>
        </w:rPr>
        <w:t>work on City Regional Deals</w:t>
      </w:r>
      <w:r w:rsidR="00CB0F7C">
        <w:rPr>
          <w:rFonts w:cs="Arial"/>
        </w:rPr>
        <w:t xml:space="preserve"> to</w:t>
      </w:r>
      <w:r w:rsidR="00CB0F7C" w:rsidRPr="00D87852">
        <w:rPr>
          <w:rFonts w:cs="Arial"/>
        </w:rPr>
        <w:t xml:space="preserve"> embed equalities in the Inclusive Growth policy </w:t>
      </w:r>
      <w:r w:rsidR="00F62CB4">
        <w:rPr>
          <w:rFonts w:cs="Arial"/>
        </w:rPr>
        <w:t>in Scotland;</w:t>
      </w:r>
    </w:p>
    <w:p w14:paraId="77A4792F" w14:textId="77777777" w:rsidR="00425AB3" w:rsidRDefault="00425AB3" w:rsidP="00F97804">
      <w:pPr>
        <w:ind w:left="1440" w:hanging="720"/>
      </w:pPr>
    </w:p>
    <w:p w14:paraId="3F6F69C1" w14:textId="52DEC2D2" w:rsidR="00CB0F7C" w:rsidRDefault="00F62CB4" w:rsidP="00F97804">
      <w:pPr>
        <w:ind w:left="1440" w:hanging="720"/>
      </w:pPr>
      <w:r>
        <w:t>b)</w:t>
      </w:r>
      <w:r>
        <w:tab/>
        <w:t>t</w:t>
      </w:r>
      <w:r w:rsidR="00425AB3">
        <w:t>he importance of embedding this learning in the Commission</w:t>
      </w:r>
      <w:r w:rsidR="006F3D7B">
        <w:t>’</w:t>
      </w:r>
      <w:r w:rsidR="00425AB3">
        <w:t>s work in respect of English regions and Wales, for example in terms of access to</w:t>
      </w:r>
      <w:r w:rsidR="008C30D0">
        <w:t xml:space="preserve"> </w:t>
      </w:r>
      <w:r w:rsidR="00425AB3">
        <w:t>transpo</w:t>
      </w:r>
      <w:r w:rsidR="008C30D0">
        <w:t>rt</w:t>
      </w:r>
      <w:r w:rsidR="00425AB3">
        <w:t>;</w:t>
      </w:r>
    </w:p>
    <w:p w14:paraId="7BCA0525" w14:textId="77777777" w:rsidR="00425AB3" w:rsidRDefault="00425AB3" w:rsidP="00F97804">
      <w:pPr>
        <w:ind w:left="1440" w:hanging="720"/>
      </w:pPr>
    </w:p>
    <w:p w14:paraId="13EC94F1" w14:textId="61571B9F" w:rsidR="00425AB3" w:rsidRDefault="00F62CB4" w:rsidP="00F97804">
      <w:pPr>
        <w:ind w:left="1440" w:hanging="720"/>
      </w:pPr>
      <w:r>
        <w:t>c)</w:t>
      </w:r>
      <w:r>
        <w:tab/>
      </w:r>
      <w:proofErr w:type="gramStart"/>
      <w:r>
        <w:t>t</w:t>
      </w:r>
      <w:r w:rsidR="00CB0F7C">
        <w:t>he</w:t>
      </w:r>
      <w:proofErr w:type="gramEnd"/>
      <w:r w:rsidR="00CB0F7C">
        <w:t xml:space="preserve"> complexity of devolved </w:t>
      </w:r>
      <w:r>
        <w:t>and reserved matters in a post-B</w:t>
      </w:r>
      <w:r w:rsidR="00CB0F7C">
        <w:t xml:space="preserve">rexit landscape, or in the event of delayed Brexit or Remain scenarios. </w:t>
      </w:r>
      <w:r w:rsidR="00425AB3">
        <w:t>Formative engagement with other ALBs, and with the Scottish Human Rights Commission would be important</w:t>
      </w:r>
      <w:r>
        <w:t>;</w:t>
      </w:r>
    </w:p>
    <w:p w14:paraId="76FBE662" w14:textId="77777777" w:rsidR="00425AB3" w:rsidRDefault="00425AB3" w:rsidP="00F97804">
      <w:pPr>
        <w:ind w:left="1440" w:hanging="720"/>
      </w:pPr>
    </w:p>
    <w:p w14:paraId="73DDCF4D" w14:textId="25B32E68" w:rsidR="003D6093" w:rsidRPr="000F6485" w:rsidRDefault="00CB0F7C" w:rsidP="00425AB3">
      <w:pPr>
        <w:pStyle w:val="ListParagraph"/>
        <w:numPr>
          <w:ilvl w:val="0"/>
          <w:numId w:val="5"/>
        </w:numPr>
      </w:pPr>
      <w:r w:rsidRPr="000F6485">
        <w:t xml:space="preserve">that future reviews would be presented in a way that made clearer the alignment of the Commissions work </w:t>
      </w:r>
      <w:r w:rsidR="00F62CB4">
        <w:t>in Scotland with its overall St</w:t>
      </w:r>
      <w:r w:rsidRPr="000F6485">
        <w:t>r</w:t>
      </w:r>
      <w:r w:rsidR="00F62CB4">
        <w:t>a</w:t>
      </w:r>
      <w:r w:rsidRPr="000F6485">
        <w:t>tegic Aims</w:t>
      </w:r>
      <w:r>
        <w:t>, and supported a format that emphasised and exemplified the ultimate impacts of the Commissions work in Scotland</w:t>
      </w:r>
      <w:r w:rsidR="006F3D7B">
        <w:t>.</w:t>
      </w:r>
    </w:p>
    <w:p w14:paraId="166DCEC9" w14:textId="77777777" w:rsidR="00F97804" w:rsidRDefault="00F97804" w:rsidP="00F97804">
      <w:pPr>
        <w:ind w:left="720" w:hanging="720"/>
      </w:pPr>
    </w:p>
    <w:p w14:paraId="1C56E2EF" w14:textId="36FCA287" w:rsidR="00734190" w:rsidRDefault="004F77A4" w:rsidP="008C30D0">
      <w:pPr>
        <w:ind w:left="720"/>
      </w:pPr>
      <w:r w:rsidRPr="000F6485">
        <w:t xml:space="preserve">The Board felt that the report </w:t>
      </w:r>
      <w:r w:rsidR="008C30D0">
        <w:t xml:space="preserve">evidenced the range, </w:t>
      </w:r>
      <w:r w:rsidR="003D6093" w:rsidRPr="000F6485">
        <w:t>impact and influence of the Commission</w:t>
      </w:r>
      <w:r w:rsidR="006F3D7B">
        <w:t>’</w:t>
      </w:r>
      <w:r w:rsidR="003D6093" w:rsidRPr="000F6485">
        <w:t xml:space="preserve">s work in Scotland, </w:t>
      </w:r>
      <w:r w:rsidR="000F6485">
        <w:t xml:space="preserve">and the potential for the Commission to build on these successes. The Board expressed </w:t>
      </w:r>
      <w:r w:rsidR="003D6093" w:rsidRPr="000F6485">
        <w:t xml:space="preserve">its thanks to the </w:t>
      </w:r>
      <w:r w:rsidR="000F6485">
        <w:t>Scot</w:t>
      </w:r>
      <w:r w:rsidR="003D6093" w:rsidRPr="000F6485">
        <w:t>l</w:t>
      </w:r>
      <w:r w:rsidR="000F6485">
        <w:t>a</w:t>
      </w:r>
      <w:r w:rsidR="003D6093" w:rsidRPr="000F6485">
        <w:t xml:space="preserve">nd team for its enterprise and endeavour over the </w:t>
      </w:r>
      <w:r w:rsidR="000F6485">
        <w:t>year, and to Lesley Sawers and Scotland Committee for their advice and oversight.</w:t>
      </w:r>
      <w:r w:rsidR="003D6093" w:rsidRPr="000F6485">
        <w:t xml:space="preserve"> </w:t>
      </w:r>
    </w:p>
    <w:p w14:paraId="7D135B8F" w14:textId="77777777" w:rsidR="00A712C7" w:rsidRDefault="00A712C7" w:rsidP="00F97804">
      <w:pPr>
        <w:ind w:left="720" w:hanging="720"/>
      </w:pPr>
    </w:p>
    <w:p w14:paraId="6AAC75E2" w14:textId="4B2AA866" w:rsidR="00A712C7" w:rsidRDefault="00A712C7" w:rsidP="00A712C7">
      <w:pPr>
        <w:ind w:left="720"/>
      </w:pPr>
      <w:r w:rsidRPr="00A712C7">
        <w:rPr>
          <w:b/>
        </w:rPr>
        <w:lastRenderedPageBreak/>
        <w:t>Action: Alastair Pringle</w:t>
      </w:r>
      <w:r>
        <w:t xml:space="preserve"> to share the Board’s feedback </w:t>
      </w:r>
      <w:r w:rsidR="00B67118">
        <w:t>with the</w:t>
      </w:r>
      <w:r>
        <w:t xml:space="preserve"> Scotland team and Scotland Committee </w:t>
      </w:r>
    </w:p>
    <w:p w14:paraId="385060B7" w14:textId="77777777" w:rsidR="00E04E16" w:rsidRDefault="00E04E16" w:rsidP="00E04E16">
      <w:pPr>
        <w:rPr>
          <w:rFonts w:cs="Arial"/>
          <w:color w:val="C00000"/>
        </w:rPr>
      </w:pPr>
    </w:p>
    <w:p w14:paraId="43459BE0" w14:textId="24B401E0" w:rsidR="00E04E16" w:rsidRDefault="00B67118" w:rsidP="008C30D0">
      <w:pPr>
        <w:ind w:left="720" w:hanging="720"/>
        <w:rPr>
          <w:rFonts w:cs="Arial"/>
        </w:rPr>
      </w:pPr>
      <w:r>
        <w:t>7.2</w:t>
      </w:r>
      <w:r w:rsidR="00F97804" w:rsidRPr="00A97CA8">
        <w:tab/>
      </w:r>
      <w:r w:rsidR="00734190" w:rsidRPr="00A97CA8">
        <w:t xml:space="preserve">Alison </w:t>
      </w:r>
      <w:r w:rsidR="00F97804" w:rsidRPr="00A97CA8">
        <w:t>Parken introduced paper</w:t>
      </w:r>
      <w:r>
        <w:t xml:space="preserve"> </w:t>
      </w:r>
      <w:r w:rsidRPr="00B67118">
        <w:rPr>
          <w:u w:val="single"/>
        </w:rPr>
        <w:t xml:space="preserve">EHRC </w:t>
      </w:r>
      <w:r w:rsidR="00F62CB4">
        <w:rPr>
          <w:u w:val="single"/>
        </w:rPr>
        <w:t>85.04</w:t>
      </w:r>
      <w:r w:rsidR="00F97804" w:rsidRPr="00A97CA8">
        <w:t xml:space="preserve"> which sought </w:t>
      </w:r>
      <w:r w:rsidR="008F34E6" w:rsidRPr="00A97CA8">
        <w:t xml:space="preserve">an </w:t>
      </w:r>
      <w:r w:rsidR="00F97804" w:rsidRPr="00A97CA8">
        <w:t xml:space="preserve">amendment to the </w:t>
      </w:r>
      <w:r w:rsidR="008F34E6" w:rsidRPr="00A97CA8">
        <w:rPr>
          <w:rFonts w:cs="Arial"/>
        </w:rPr>
        <w:t xml:space="preserve">reappointments period set out in </w:t>
      </w:r>
      <w:r w:rsidR="008F34E6" w:rsidRPr="00A97CA8">
        <w:t xml:space="preserve">Wales Committee </w:t>
      </w:r>
      <w:r w:rsidR="008F34E6" w:rsidRPr="00F97804">
        <w:rPr>
          <w:rFonts w:cs="Arial"/>
        </w:rPr>
        <w:t>Terms of Reference</w:t>
      </w:r>
      <w:r w:rsidR="008F34E6" w:rsidRPr="00A97CA8">
        <w:rPr>
          <w:rFonts w:cs="Arial"/>
        </w:rPr>
        <w:t xml:space="preserve"> </w:t>
      </w:r>
      <w:r w:rsidR="009F7B3B" w:rsidRPr="00A97CA8">
        <w:rPr>
          <w:rFonts w:cs="Arial"/>
        </w:rPr>
        <w:t>to allow</w:t>
      </w:r>
      <w:r w:rsidR="00A97CA8" w:rsidRPr="00A97CA8">
        <w:rPr>
          <w:rFonts w:cs="Arial"/>
        </w:rPr>
        <w:t xml:space="preserve"> for a</w:t>
      </w:r>
      <w:r w:rsidR="00425AB3">
        <w:rPr>
          <w:rFonts w:cs="Arial"/>
        </w:rPr>
        <w:t>ppointments of up to five years and r</w:t>
      </w:r>
      <w:r w:rsidR="00A97CA8" w:rsidRPr="00A97CA8">
        <w:rPr>
          <w:rFonts w:cs="Arial"/>
        </w:rPr>
        <w:t xml:space="preserve">eappointment </w:t>
      </w:r>
      <w:r w:rsidR="00425AB3">
        <w:rPr>
          <w:rFonts w:cs="Arial"/>
        </w:rPr>
        <w:t>of up to five years. It was noted that to ensure continuity, positive churn of membership, and in recognition of Members other commitments, the maximum term would not be the default position</w:t>
      </w:r>
      <w:r w:rsidR="00BB75B5">
        <w:rPr>
          <w:rFonts w:cs="Arial"/>
        </w:rPr>
        <w:t>.</w:t>
      </w:r>
      <w:r w:rsidR="00425AB3">
        <w:rPr>
          <w:rFonts w:cs="Arial"/>
        </w:rPr>
        <w:t xml:space="preserve"> </w:t>
      </w:r>
      <w:r w:rsidR="00A97CA8">
        <w:rPr>
          <w:rFonts w:cs="Arial"/>
        </w:rPr>
        <w:t>The Board agreed</w:t>
      </w:r>
      <w:r w:rsidR="00FE2568">
        <w:rPr>
          <w:rFonts w:cs="Arial"/>
        </w:rPr>
        <w:t>*</w:t>
      </w:r>
      <w:r w:rsidR="00A97CA8">
        <w:rPr>
          <w:rFonts w:cs="Arial"/>
        </w:rPr>
        <w:t xml:space="preserve"> this more flexible approach, and with Lesley Sawers</w:t>
      </w:r>
      <w:r w:rsidR="00E04E16">
        <w:rPr>
          <w:rFonts w:cs="Arial"/>
        </w:rPr>
        <w:t>’</w:t>
      </w:r>
      <w:r w:rsidR="00466E7C">
        <w:rPr>
          <w:rFonts w:cs="Arial"/>
        </w:rPr>
        <w:t xml:space="preserve"> endor</w:t>
      </w:r>
      <w:r w:rsidR="00A97CA8">
        <w:rPr>
          <w:rFonts w:cs="Arial"/>
        </w:rPr>
        <w:t>s</w:t>
      </w:r>
      <w:r w:rsidR="00466E7C">
        <w:rPr>
          <w:rFonts w:cs="Arial"/>
        </w:rPr>
        <w:t>e</w:t>
      </w:r>
      <w:r w:rsidR="00A97CA8">
        <w:rPr>
          <w:rFonts w:cs="Arial"/>
        </w:rPr>
        <w:t>m</w:t>
      </w:r>
      <w:r w:rsidR="00466E7C">
        <w:rPr>
          <w:rFonts w:cs="Arial"/>
        </w:rPr>
        <w:t>e</w:t>
      </w:r>
      <w:r w:rsidR="00A97CA8">
        <w:rPr>
          <w:rFonts w:cs="Arial"/>
        </w:rPr>
        <w:t xml:space="preserve">nt asked that the Scotland Committee Terms of reference be amended in parallel. These changes would </w:t>
      </w:r>
      <w:r w:rsidR="00E04E16">
        <w:rPr>
          <w:rFonts w:cs="Arial"/>
        </w:rPr>
        <w:t>take</w:t>
      </w:r>
      <w:r w:rsidR="00A97CA8">
        <w:rPr>
          <w:rFonts w:cs="Arial"/>
        </w:rPr>
        <w:t xml:space="preserve"> effect immediately, in advance of other updates currently under consideration by the Committees:</w:t>
      </w:r>
      <w:r w:rsidR="008C30D0">
        <w:rPr>
          <w:rFonts w:cs="Arial"/>
        </w:rPr>
        <w:t xml:space="preserve"> (</w:t>
      </w:r>
      <w:r w:rsidR="00A97CA8" w:rsidRPr="00E04E16">
        <w:rPr>
          <w:rFonts w:cs="Arial"/>
          <w:b/>
        </w:rPr>
        <w:t>Action: Richard Mabbitt</w:t>
      </w:r>
      <w:r w:rsidR="00A97CA8">
        <w:rPr>
          <w:rFonts w:cs="Arial"/>
        </w:rPr>
        <w:t xml:space="preserve"> to amend Scot</w:t>
      </w:r>
      <w:r w:rsidR="00E04E16">
        <w:rPr>
          <w:rFonts w:cs="Arial"/>
        </w:rPr>
        <w:t>l</w:t>
      </w:r>
      <w:r w:rsidR="00466E7C">
        <w:rPr>
          <w:rFonts w:cs="Arial"/>
        </w:rPr>
        <w:t>and and W</w:t>
      </w:r>
      <w:r w:rsidR="00A97CA8">
        <w:rPr>
          <w:rFonts w:cs="Arial"/>
        </w:rPr>
        <w:t>ales Committee Terms of</w:t>
      </w:r>
      <w:r w:rsidR="00E04E16">
        <w:rPr>
          <w:rFonts w:cs="Arial"/>
        </w:rPr>
        <w:t xml:space="preserve"> </w:t>
      </w:r>
      <w:r w:rsidR="00A97CA8">
        <w:rPr>
          <w:rFonts w:cs="Arial"/>
        </w:rPr>
        <w:t>refere</w:t>
      </w:r>
      <w:r w:rsidR="00E04E16">
        <w:rPr>
          <w:rFonts w:cs="Arial"/>
        </w:rPr>
        <w:t>n</w:t>
      </w:r>
      <w:r w:rsidR="00A97CA8">
        <w:rPr>
          <w:rFonts w:cs="Arial"/>
        </w:rPr>
        <w:t>ce accordingly and incorporate revised versions into</w:t>
      </w:r>
      <w:r w:rsidR="00E04E16">
        <w:rPr>
          <w:rFonts w:cs="Arial"/>
        </w:rPr>
        <w:t xml:space="preserve"> </w:t>
      </w:r>
      <w:r w:rsidR="00A97CA8">
        <w:rPr>
          <w:rFonts w:cs="Arial"/>
        </w:rPr>
        <w:t>the Commission’s Governance Manual</w:t>
      </w:r>
      <w:r w:rsidR="008C30D0">
        <w:rPr>
          <w:rFonts w:cs="Arial"/>
        </w:rPr>
        <w:t>)</w:t>
      </w:r>
      <w:r w:rsidR="00F62CB4">
        <w:rPr>
          <w:rFonts w:cs="Arial"/>
        </w:rPr>
        <w:t>.</w:t>
      </w:r>
      <w:r w:rsidR="008C30D0">
        <w:rPr>
          <w:rFonts w:cs="Arial"/>
        </w:rPr>
        <w:t xml:space="preserve"> </w:t>
      </w:r>
      <w:r w:rsidR="00466E7C">
        <w:rPr>
          <w:rFonts w:cs="Arial"/>
        </w:rPr>
        <w:t xml:space="preserve">In line with these changes, </w:t>
      </w:r>
      <w:r w:rsidR="00E04E16">
        <w:rPr>
          <w:rFonts w:cs="Arial"/>
        </w:rPr>
        <w:t>Al</w:t>
      </w:r>
      <w:r w:rsidR="00466E7C">
        <w:rPr>
          <w:rFonts w:cs="Arial"/>
        </w:rPr>
        <w:t>is</w:t>
      </w:r>
      <w:r w:rsidR="00E04E16">
        <w:rPr>
          <w:rFonts w:cs="Arial"/>
        </w:rPr>
        <w:t>on Pa</w:t>
      </w:r>
      <w:r w:rsidR="00A97CA8">
        <w:rPr>
          <w:rFonts w:cs="Arial"/>
        </w:rPr>
        <w:t xml:space="preserve">rken recommended the reappointment </w:t>
      </w:r>
      <w:r w:rsidR="00A97CA8" w:rsidRPr="00F97804">
        <w:rPr>
          <w:rFonts w:cs="Arial"/>
        </w:rPr>
        <w:t xml:space="preserve">of Wales Committee member Faith Walker for three years on her current terms and conditions. </w:t>
      </w:r>
      <w:r w:rsidR="00E04E16">
        <w:rPr>
          <w:rFonts w:cs="Arial"/>
        </w:rPr>
        <w:t>The Board was happy to agree this reappointment</w:t>
      </w:r>
      <w:r w:rsidR="008C30D0">
        <w:rPr>
          <w:rFonts w:cs="Arial"/>
        </w:rPr>
        <w:t xml:space="preserve"> (</w:t>
      </w:r>
      <w:r w:rsidR="00E04E16" w:rsidRPr="00E04E16">
        <w:rPr>
          <w:rFonts w:cs="Arial"/>
          <w:b/>
        </w:rPr>
        <w:t>Action: Richard Mabbitt</w:t>
      </w:r>
      <w:r w:rsidR="008C30D0">
        <w:rPr>
          <w:rFonts w:cs="Arial"/>
        </w:rPr>
        <w:t xml:space="preserve"> to progress reappointment)</w:t>
      </w:r>
      <w:r w:rsidR="00F62CB4">
        <w:rPr>
          <w:rFonts w:cs="Arial"/>
        </w:rPr>
        <w:t>.</w:t>
      </w:r>
    </w:p>
    <w:p w14:paraId="41999869" w14:textId="005519FE" w:rsidR="00BB75B5" w:rsidRDefault="00BB75B5" w:rsidP="008C30D0">
      <w:pPr>
        <w:ind w:left="720" w:hanging="720"/>
        <w:rPr>
          <w:rFonts w:cs="Arial"/>
        </w:rPr>
      </w:pPr>
    </w:p>
    <w:p w14:paraId="5BD2CAF6" w14:textId="6982C899" w:rsidR="00BB75B5" w:rsidRPr="00FE2568" w:rsidRDefault="00FE2568" w:rsidP="00FE2568">
      <w:pPr>
        <w:pStyle w:val="ListParagraph"/>
        <w:rPr>
          <w:rFonts w:cs="Arial"/>
          <w:i/>
        </w:rPr>
      </w:pPr>
      <w:r w:rsidRPr="00FE2568">
        <w:rPr>
          <w:rFonts w:cs="Arial"/>
          <w:i/>
        </w:rPr>
        <w:t>*</w:t>
      </w:r>
      <w:r w:rsidR="00D70ED5">
        <w:rPr>
          <w:rFonts w:cs="Arial"/>
          <w:i/>
        </w:rPr>
        <w:t>With</w:t>
      </w:r>
      <w:r>
        <w:rPr>
          <w:rFonts w:cs="Arial"/>
          <w:i/>
        </w:rPr>
        <w:t xml:space="preserve"> some Commissioners after the meeting having expre</w:t>
      </w:r>
      <w:r w:rsidR="00D70ED5">
        <w:rPr>
          <w:rFonts w:cs="Arial"/>
          <w:i/>
        </w:rPr>
        <w:t>ssed uncertainty about the wor</w:t>
      </w:r>
      <w:r>
        <w:rPr>
          <w:rFonts w:cs="Arial"/>
          <w:i/>
        </w:rPr>
        <w:t xml:space="preserve">ding </w:t>
      </w:r>
      <w:r w:rsidR="00D70ED5">
        <w:rPr>
          <w:rFonts w:cs="Arial"/>
          <w:i/>
        </w:rPr>
        <w:t>i</w:t>
      </w:r>
      <w:r>
        <w:rPr>
          <w:rFonts w:cs="Arial"/>
          <w:i/>
        </w:rPr>
        <w:t>n the paper</w:t>
      </w:r>
      <w:r w:rsidR="00D70ED5">
        <w:rPr>
          <w:rFonts w:cs="Arial"/>
          <w:i/>
        </w:rPr>
        <w:t>, the Board subsequently asked Alison Parken and Lesley Sawers for confirmation of their mutual agreement to the arrangements above, which was duly provided</w:t>
      </w:r>
      <w:r w:rsidRPr="00FE2568">
        <w:rPr>
          <w:rFonts w:cs="Arial"/>
          <w:i/>
        </w:rPr>
        <w:t xml:space="preserve">. </w:t>
      </w:r>
      <w:r w:rsidR="00BB75B5" w:rsidRPr="00FE2568">
        <w:rPr>
          <w:rFonts w:cs="Arial"/>
          <w:i/>
        </w:rPr>
        <w:t xml:space="preserve"> </w:t>
      </w:r>
    </w:p>
    <w:p w14:paraId="524BEE24" w14:textId="77777777" w:rsidR="00E04E16" w:rsidRDefault="00E04E16" w:rsidP="00E04E16">
      <w:pPr>
        <w:rPr>
          <w:rFonts w:cs="Arial"/>
        </w:rPr>
      </w:pPr>
    </w:p>
    <w:p w14:paraId="14D07D05" w14:textId="1D6ACFED" w:rsidR="00E04E16" w:rsidRPr="00E04E16" w:rsidRDefault="00B67118" w:rsidP="00E04E16">
      <w:pPr>
        <w:ind w:left="720" w:hanging="720"/>
      </w:pPr>
      <w:r>
        <w:t>7.3</w:t>
      </w:r>
      <w:r w:rsidR="00E04E16" w:rsidRPr="00E04E16">
        <w:tab/>
      </w:r>
      <w:r w:rsidR="00E04E16">
        <w:t xml:space="preserve">Susan Johnson reported that </w:t>
      </w:r>
      <w:r w:rsidR="00E04E16" w:rsidRPr="00B67118">
        <w:t>A</w:t>
      </w:r>
      <w:r w:rsidRPr="00B67118">
        <w:t>udit and Risk Assurance Committee</w:t>
      </w:r>
      <w:r>
        <w:t xml:space="preserve"> </w:t>
      </w:r>
      <w:r w:rsidR="00E04E16">
        <w:t>would n</w:t>
      </w:r>
      <w:r w:rsidR="00B94C8F">
        <w:t>ext be meeting on 18 September</w:t>
      </w:r>
      <w:r w:rsidR="00782FA6">
        <w:t>.</w:t>
      </w:r>
    </w:p>
    <w:p w14:paraId="791E4BD7" w14:textId="77777777" w:rsidR="00E04E16" w:rsidRPr="00E04E16" w:rsidRDefault="00E04E16" w:rsidP="00C208C1">
      <w:pPr>
        <w:ind w:left="720" w:hanging="720"/>
        <w:rPr>
          <w:b/>
        </w:rPr>
      </w:pPr>
    </w:p>
    <w:p w14:paraId="38296CA4" w14:textId="66265FC6" w:rsidR="00C208C1" w:rsidRDefault="00B67118" w:rsidP="00C208C1">
      <w:pPr>
        <w:ind w:left="720" w:hanging="720"/>
        <w:rPr>
          <w:b/>
          <w:bCs/>
        </w:rPr>
      </w:pPr>
      <w:r>
        <w:t>7.4</w:t>
      </w:r>
      <w:r w:rsidR="00E04E16" w:rsidRPr="00E04E16">
        <w:tab/>
      </w:r>
      <w:r w:rsidR="00E04E16">
        <w:t>Caroline Waters</w:t>
      </w:r>
      <w:r w:rsidR="00E04E16" w:rsidRPr="00E04E16">
        <w:t xml:space="preserve"> </w:t>
      </w:r>
      <w:r w:rsidR="00B94C8F">
        <w:t>reported</w:t>
      </w:r>
      <w:r w:rsidR="00E04E16" w:rsidRPr="00E04E16">
        <w:t xml:space="preserve"> that </w:t>
      </w:r>
      <w:r w:rsidR="00F62CB4">
        <w:t>s</w:t>
      </w:r>
      <w:r w:rsidR="00B94C8F">
        <w:t>he had asked officers to consider t</w:t>
      </w:r>
      <w:r>
        <w:t xml:space="preserve">he phasing of </w:t>
      </w:r>
      <w:r w:rsidR="00E160F8">
        <w:t xml:space="preserve">Human Resources and Remuneration Committee (HRRC) </w:t>
      </w:r>
      <w:r>
        <w:t xml:space="preserve">meetings to align </w:t>
      </w:r>
      <w:r w:rsidR="00B94C8F">
        <w:t>them better with key people milestones</w:t>
      </w:r>
      <w:r>
        <w:t xml:space="preserve"> and decision points </w:t>
      </w:r>
      <w:r w:rsidR="00793F5E">
        <w:t>and the cycle of Board meetings.</w:t>
      </w:r>
      <w:r w:rsidR="00AA3D45">
        <w:t xml:space="preserve"> The Board asked that HRRC consider how </w:t>
      </w:r>
      <w:r w:rsidR="00C208C1" w:rsidRPr="00C208C1">
        <w:t xml:space="preserve">this might provide a structure for annual reporting on the Commission’s People and Change interventions. </w:t>
      </w:r>
      <w:r w:rsidR="00C208C1" w:rsidRPr="00C208C1">
        <w:rPr>
          <w:b/>
          <w:bCs/>
        </w:rPr>
        <w:t>Action: Joe Corcos/Caroline Waters</w:t>
      </w:r>
    </w:p>
    <w:p w14:paraId="7F28876E" w14:textId="77777777" w:rsidR="00C208C1" w:rsidRDefault="00C208C1" w:rsidP="00C208C1">
      <w:pPr>
        <w:ind w:left="720" w:hanging="720"/>
        <w:rPr>
          <w:rFonts w:ascii="Calibri" w:hAnsi="Calibri"/>
          <w:color w:val="1F497D"/>
          <w:sz w:val="22"/>
          <w:szCs w:val="22"/>
        </w:rPr>
      </w:pPr>
    </w:p>
    <w:p w14:paraId="0ADC2A78" w14:textId="378845FD" w:rsidR="00E04E16" w:rsidRPr="00793F5E" w:rsidRDefault="00E160F8" w:rsidP="001E138B">
      <w:pPr>
        <w:ind w:left="720" w:hanging="720"/>
      </w:pPr>
      <w:r>
        <w:t>7.5</w:t>
      </w:r>
      <w:r w:rsidR="00E04E16" w:rsidRPr="00793F5E">
        <w:tab/>
        <w:t xml:space="preserve">Caroline Waters </w:t>
      </w:r>
      <w:r w:rsidR="00793F5E" w:rsidRPr="00793F5E">
        <w:t xml:space="preserve">reported </w:t>
      </w:r>
      <w:r w:rsidR="001E138B" w:rsidRPr="00793F5E">
        <w:t xml:space="preserve">that the next </w:t>
      </w:r>
      <w:r>
        <w:t>Disability Advisory Committee (</w:t>
      </w:r>
      <w:r w:rsidR="001E138B" w:rsidRPr="00793F5E">
        <w:t>DAC</w:t>
      </w:r>
      <w:r>
        <w:t>)</w:t>
      </w:r>
      <w:r w:rsidR="001E138B" w:rsidRPr="00793F5E">
        <w:t xml:space="preserve"> meeting would take place on</w:t>
      </w:r>
      <w:r w:rsidR="00E04E16" w:rsidRPr="00793F5E">
        <w:t xml:space="preserve"> </w:t>
      </w:r>
      <w:r w:rsidR="003970CD">
        <w:t>23 October</w:t>
      </w:r>
      <w:r w:rsidR="001E138B" w:rsidRPr="00793F5E">
        <w:t>.</w:t>
      </w:r>
      <w:r w:rsidR="00793F5E" w:rsidRPr="00793F5E">
        <w:t xml:space="preserve"> She also highlighted the launch of the report of the </w:t>
      </w:r>
      <w:proofErr w:type="spellStart"/>
      <w:r w:rsidR="00793F5E" w:rsidRPr="00793F5E">
        <w:t>Dunford</w:t>
      </w:r>
      <w:proofErr w:type="spellEnd"/>
      <w:r w:rsidR="00793F5E" w:rsidRPr="00793F5E">
        <w:t xml:space="preserve"> Commission on examination malpractice, to which the DAC had made substantive and well received contributions. These had been acknowledged at the launch. The Board noted that this was a good example of effective pre-emptive intervention by the Committee. </w:t>
      </w:r>
    </w:p>
    <w:p w14:paraId="50B06CBF" w14:textId="77777777" w:rsidR="001E138B" w:rsidRDefault="001E138B" w:rsidP="001E138B">
      <w:pPr>
        <w:ind w:left="720" w:hanging="720"/>
        <w:rPr>
          <w:b/>
        </w:rPr>
      </w:pPr>
    </w:p>
    <w:p w14:paraId="4508CDB9" w14:textId="5CC546E4" w:rsidR="0069718F" w:rsidRDefault="002E7D50" w:rsidP="0069718F">
      <w:pPr>
        <w:ind w:left="720" w:hanging="720"/>
      </w:pPr>
      <w:r>
        <w:t>7.6</w:t>
      </w:r>
      <w:r w:rsidR="00793F5E">
        <w:tab/>
        <w:t xml:space="preserve">Suzanne Baxter </w:t>
      </w:r>
      <w:r w:rsidR="00B67118">
        <w:t>and Alasdair Henderson provided oral updates on</w:t>
      </w:r>
      <w:r w:rsidR="00B23F7A">
        <w:t xml:space="preserve"> the BBC </w:t>
      </w:r>
      <w:r w:rsidR="00713737">
        <w:t xml:space="preserve">and Labour Party </w:t>
      </w:r>
      <w:r w:rsidR="00B23F7A">
        <w:t>investigation</w:t>
      </w:r>
      <w:r w:rsidR="00713737">
        <w:t>s</w:t>
      </w:r>
      <w:r w:rsidR="00B67118">
        <w:t xml:space="preserve">. The Board asked for </w:t>
      </w:r>
      <w:r w:rsidR="00793F5E">
        <w:t>further repo</w:t>
      </w:r>
      <w:r w:rsidR="00B67118">
        <w:t>r</w:t>
      </w:r>
      <w:r w:rsidR="00793F5E">
        <w:t>t</w:t>
      </w:r>
      <w:r w:rsidR="0069718F">
        <w:t>s</w:t>
      </w:r>
      <w:r w:rsidR="003970CD">
        <w:t xml:space="preserve"> at its</w:t>
      </w:r>
      <w:r w:rsidR="00793F5E">
        <w:t xml:space="preserve"> November meeting. </w:t>
      </w:r>
    </w:p>
    <w:p w14:paraId="6D8C3D13" w14:textId="77777777" w:rsidR="00B23F7A" w:rsidRDefault="00B23F7A" w:rsidP="00E04E16">
      <w:pPr>
        <w:ind w:left="720" w:hanging="720"/>
      </w:pPr>
    </w:p>
    <w:p w14:paraId="46358017" w14:textId="789AE315" w:rsidR="00411A15" w:rsidRPr="00E04E16" w:rsidRDefault="003C27F7" w:rsidP="00E04E16">
      <w:pPr>
        <w:pStyle w:val="Heading1"/>
      </w:pPr>
      <w:r>
        <w:t>8</w:t>
      </w:r>
      <w:r w:rsidR="00411A15" w:rsidRPr="00E04E16">
        <w:t>.</w:t>
      </w:r>
      <w:r w:rsidR="00411A15" w:rsidRPr="00E04E16">
        <w:tab/>
        <w:t>C</w:t>
      </w:r>
      <w:r w:rsidR="00B67118">
        <w:t xml:space="preserve">EO’s </w:t>
      </w:r>
      <w:r w:rsidR="00411A15" w:rsidRPr="00E04E16">
        <w:t>updates.</w:t>
      </w:r>
    </w:p>
    <w:p w14:paraId="7A33F28F" w14:textId="77777777" w:rsidR="00411A15" w:rsidRDefault="00411A15" w:rsidP="00E04E16">
      <w:pPr>
        <w:pStyle w:val="Heading1"/>
      </w:pPr>
    </w:p>
    <w:p w14:paraId="242B35F5" w14:textId="53046E04" w:rsidR="003C27F7" w:rsidRPr="00455449" w:rsidRDefault="00A2792A" w:rsidP="001F2603">
      <w:pPr>
        <w:ind w:left="720" w:hanging="720"/>
        <w:rPr>
          <w:rFonts w:cs="Arial"/>
        </w:rPr>
      </w:pPr>
      <w:r w:rsidRPr="00455449">
        <w:t>8.1</w:t>
      </w:r>
      <w:r w:rsidRPr="00455449">
        <w:tab/>
      </w:r>
      <w:r w:rsidR="006D5379" w:rsidRPr="00455449">
        <w:t>The Board reviewed the CEO’s report on strategic issues a</w:t>
      </w:r>
      <w:r w:rsidR="007C694D">
        <w:t xml:space="preserve">nd performance (paper </w:t>
      </w:r>
      <w:r w:rsidR="007C694D" w:rsidRPr="007C694D">
        <w:rPr>
          <w:u w:val="single"/>
        </w:rPr>
        <w:t>EHRC 85.05</w:t>
      </w:r>
      <w:r w:rsidR="006D5379" w:rsidRPr="00455449">
        <w:t>) a</w:t>
      </w:r>
      <w:r w:rsidR="00713737">
        <w:t>n</w:t>
      </w:r>
      <w:r w:rsidR="006F3D7B">
        <w:t>d her f</w:t>
      </w:r>
      <w:r w:rsidR="006D5379" w:rsidRPr="00455449">
        <w:t>inance report</w:t>
      </w:r>
      <w:r w:rsidR="00713737">
        <w:t xml:space="preserve"> </w:t>
      </w:r>
      <w:r w:rsidR="007C694D">
        <w:t xml:space="preserve">(paper </w:t>
      </w:r>
      <w:r w:rsidR="007C694D" w:rsidRPr="007C694D">
        <w:rPr>
          <w:u w:val="single"/>
        </w:rPr>
        <w:t>EHRC 85.06</w:t>
      </w:r>
      <w:r w:rsidR="00D9391E" w:rsidRPr="00455449">
        <w:t>)</w:t>
      </w:r>
      <w:r w:rsidR="006D5379" w:rsidRPr="00455449">
        <w:t xml:space="preserve">. </w:t>
      </w:r>
      <w:r w:rsidR="006D5379" w:rsidRPr="00455449">
        <w:rPr>
          <w:rFonts w:cs="Arial"/>
        </w:rPr>
        <w:t xml:space="preserve">Board </w:t>
      </w:r>
      <w:r w:rsidR="006D5379" w:rsidRPr="00455449">
        <w:rPr>
          <w:rFonts w:cs="Arial"/>
        </w:rPr>
        <w:lastRenderedPageBreak/>
        <w:t xml:space="preserve">members fed back positively on the changes to how </w:t>
      </w:r>
      <w:r w:rsidR="00D9391E" w:rsidRPr="00455449">
        <w:rPr>
          <w:rFonts w:cs="Arial"/>
        </w:rPr>
        <w:t>finance and performan</w:t>
      </w:r>
      <w:r w:rsidR="00713737">
        <w:rPr>
          <w:rFonts w:cs="Arial"/>
        </w:rPr>
        <w:t>ce data was presented</w:t>
      </w:r>
      <w:r w:rsidR="00D9391E" w:rsidRPr="00455449">
        <w:rPr>
          <w:rFonts w:cs="Arial"/>
        </w:rPr>
        <w:t>.</w:t>
      </w:r>
      <w:r w:rsidR="006D5379" w:rsidRPr="00455449">
        <w:rPr>
          <w:rFonts w:cs="Arial"/>
        </w:rPr>
        <w:t xml:space="preserve"> David Isaac thanked officers and Mark</w:t>
      </w:r>
      <w:r w:rsidR="001F2603" w:rsidRPr="00455449">
        <w:rPr>
          <w:rFonts w:cs="Arial"/>
        </w:rPr>
        <w:t xml:space="preserve"> McLa</w:t>
      </w:r>
      <w:r w:rsidR="006D5379" w:rsidRPr="00455449">
        <w:rPr>
          <w:rFonts w:cs="Arial"/>
        </w:rPr>
        <w:t>ne who had been working with officers on this.</w:t>
      </w:r>
    </w:p>
    <w:p w14:paraId="4596DA5A" w14:textId="77777777" w:rsidR="00A2792A" w:rsidRDefault="00A2792A" w:rsidP="001F2603">
      <w:pPr>
        <w:ind w:left="720" w:hanging="720"/>
        <w:rPr>
          <w:rFonts w:cs="Arial"/>
        </w:rPr>
      </w:pPr>
    </w:p>
    <w:p w14:paraId="20B69088" w14:textId="1A84E14A" w:rsidR="00455449" w:rsidRPr="00455449" w:rsidRDefault="00455449" w:rsidP="00FA7C56">
      <w:pPr>
        <w:pStyle w:val="Heading2"/>
        <w:ind w:left="720"/>
        <w:rPr>
          <w:rFonts w:cs="Arial"/>
        </w:rPr>
      </w:pPr>
      <w:r w:rsidRPr="00455449">
        <w:t>Strategic issues and performance</w:t>
      </w:r>
    </w:p>
    <w:p w14:paraId="16D3875A" w14:textId="77777777" w:rsidR="00455449" w:rsidRPr="00455449" w:rsidRDefault="00455449" w:rsidP="001F2603">
      <w:pPr>
        <w:ind w:left="720" w:hanging="720"/>
        <w:rPr>
          <w:rFonts w:cs="Arial"/>
        </w:rPr>
      </w:pPr>
    </w:p>
    <w:p w14:paraId="2E8D3AED" w14:textId="2A5295E7" w:rsidR="0069718F" w:rsidRDefault="0069718F" w:rsidP="0069718F">
      <w:pPr>
        <w:ind w:left="720" w:hanging="720"/>
        <w:rPr>
          <w:rFonts w:cs="Arial"/>
        </w:rPr>
      </w:pPr>
      <w:r>
        <w:rPr>
          <w:rFonts w:cs="Arial"/>
        </w:rPr>
        <w:t>8.2</w:t>
      </w:r>
      <w:r w:rsidR="003970CD">
        <w:rPr>
          <w:rFonts w:cs="Arial"/>
        </w:rPr>
        <w:tab/>
      </w:r>
      <w:r>
        <w:rPr>
          <w:rFonts w:cs="Arial"/>
        </w:rPr>
        <w:t>Commissioners discussed the Commission’s engagement with key stakeholders, including political parties.</w:t>
      </w:r>
    </w:p>
    <w:p w14:paraId="7B1A63CC" w14:textId="77777777" w:rsidR="0069718F" w:rsidRDefault="0069718F" w:rsidP="0069718F">
      <w:pPr>
        <w:ind w:left="720" w:hanging="720"/>
        <w:rPr>
          <w:rFonts w:cs="Arial"/>
        </w:rPr>
      </w:pPr>
    </w:p>
    <w:p w14:paraId="41AD452E" w14:textId="183C6BF3" w:rsidR="00E160F8" w:rsidRDefault="0069718F" w:rsidP="00E160F8">
      <w:pPr>
        <w:ind w:left="1440" w:hanging="720"/>
        <w:rPr>
          <w:rFonts w:cs="Arial"/>
        </w:rPr>
      </w:pPr>
      <w:r>
        <w:rPr>
          <w:rFonts w:cs="Arial"/>
        </w:rPr>
        <w:t>a)</w:t>
      </w:r>
      <w:r w:rsidR="003970CD">
        <w:rPr>
          <w:rFonts w:cs="Arial"/>
        </w:rPr>
        <w:tab/>
      </w:r>
      <w:r>
        <w:rPr>
          <w:rFonts w:cs="Arial"/>
        </w:rPr>
        <w:t xml:space="preserve">It was noted that a series of letters to all main parties were in preparation to clarify and commend the Commission’s existing policy </w:t>
      </w:r>
      <w:r w:rsidRPr="0069718F">
        <w:rPr>
          <w:rFonts w:cs="Arial"/>
        </w:rPr>
        <w:t xml:space="preserve">positions and would be issued shortly. </w:t>
      </w:r>
      <w:r w:rsidRPr="0069718F">
        <w:rPr>
          <w:rFonts w:cs="Arial"/>
          <w:b/>
          <w:bCs/>
        </w:rPr>
        <w:t xml:space="preserve">Action: Alasdair MacDonald </w:t>
      </w:r>
      <w:r w:rsidRPr="0069718F">
        <w:rPr>
          <w:rFonts w:cs="Arial"/>
        </w:rPr>
        <w:t>to share these wi</w:t>
      </w:r>
      <w:r>
        <w:rPr>
          <w:rFonts w:cs="Arial"/>
        </w:rPr>
        <w:t>th Board members on issue, and to</w:t>
      </w:r>
      <w:r w:rsidRPr="0069718F">
        <w:rPr>
          <w:rFonts w:cs="Arial"/>
        </w:rPr>
        <w:t xml:space="preserve"> circulate summary </w:t>
      </w:r>
      <w:r w:rsidR="00E160F8">
        <w:rPr>
          <w:rFonts w:cs="Arial"/>
        </w:rPr>
        <w:t xml:space="preserve">information </w:t>
      </w:r>
      <w:r w:rsidRPr="0069718F">
        <w:rPr>
          <w:rFonts w:cs="Arial"/>
        </w:rPr>
        <w:t>o</w:t>
      </w:r>
      <w:r w:rsidR="00E160F8">
        <w:rPr>
          <w:rFonts w:cs="Arial"/>
        </w:rPr>
        <w:t>n</w:t>
      </w:r>
      <w:r w:rsidRPr="0069718F">
        <w:rPr>
          <w:rFonts w:cs="Arial"/>
        </w:rPr>
        <w:t xml:space="preserve"> key </w:t>
      </w:r>
      <w:r w:rsidR="00E160F8">
        <w:rPr>
          <w:rFonts w:cs="Arial"/>
        </w:rPr>
        <w:t xml:space="preserve">stakeholders and messages/asks </w:t>
      </w:r>
    </w:p>
    <w:p w14:paraId="6DBB9E05" w14:textId="77777777" w:rsidR="0069718F" w:rsidRPr="0069718F" w:rsidRDefault="0069718F" w:rsidP="0069718F">
      <w:pPr>
        <w:ind w:left="1440" w:hanging="720"/>
        <w:rPr>
          <w:rFonts w:cs="Arial"/>
        </w:rPr>
      </w:pPr>
    </w:p>
    <w:p w14:paraId="51AA2A70" w14:textId="27EF8CA6" w:rsidR="0069718F" w:rsidRDefault="0069718F" w:rsidP="0069718F">
      <w:pPr>
        <w:ind w:left="1440" w:hanging="720"/>
        <w:rPr>
          <w:rFonts w:cs="Arial"/>
          <w:b/>
          <w:bCs/>
        </w:rPr>
      </w:pPr>
      <w:r w:rsidRPr="0069718F">
        <w:rPr>
          <w:rFonts w:cs="Arial"/>
        </w:rPr>
        <w:t>b)</w:t>
      </w:r>
      <w:r w:rsidR="003970CD">
        <w:rPr>
          <w:rFonts w:cs="Arial"/>
        </w:rPr>
        <w:tab/>
      </w:r>
      <w:r w:rsidRPr="0069718F">
        <w:rPr>
          <w:rFonts w:cs="Arial"/>
        </w:rPr>
        <w:t xml:space="preserve">Given the fast-moving political situation, the Board asked for the opportunity to feed into the Commission’s preparations for the election and post-election period, and its proactive and reactive work with stakeholders. This could be in the form of a conference call (with individual contacts for those unable to attend) when the election was called. </w:t>
      </w:r>
      <w:r w:rsidRPr="00B42B71">
        <w:rPr>
          <w:rFonts w:cs="Arial"/>
          <w:b/>
        </w:rPr>
        <w:t xml:space="preserve">Action: </w:t>
      </w:r>
      <w:r w:rsidRPr="00B42B71">
        <w:rPr>
          <w:rFonts w:cs="Arial"/>
          <w:b/>
          <w:bCs/>
        </w:rPr>
        <w:t>Sarah</w:t>
      </w:r>
      <w:r w:rsidRPr="0069718F">
        <w:rPr>
          <w:rFonts w:cs="Arial"/>
          <w:b/>
          <w:bCs/>
        </w:rPr>
        <w:t xml:space="preserve"> Maclean / Tessa Griffiths</w:t>
      </w:r>
      <w:r w:rsidRPr="0069718F">
        <w:rPr>
          <w:rFonts w:cs="Arial"/>
        </w:rPr>
        <w:t xml:space="preserve">. </w:t>
      </w:r>
    </w:p>
    <w:p w14:paraId="73793F16" w14:textId="77777777" w:rsidR="0069718F" w:rsidRDefault="0069718F" w:rsidP="0069718F">
      <w:pPr>
        <w:ind w:left="2160" w:hanging="720"/>
        <w:rPr>
          <w:rFonts w:cs="Arial"/>
        </w:rPr>
      </w:pPr>
    </w:p>
    <w:p w14:paraId="2A1F8912" w14:textId="070A65D2" w:rsidR="00A2792A" w:rsidRDefault="001F2603" w:rsidP="001F2603">
      <w:pPr>
        <w:ind w:left="720" w:hanging="720"/>
      </w:pPr>
      <w:r>
        <w:t>8.3</w:t>
      </w:r>
      <w:r>
        <w:tab/>
        <w:t>The Board discussed t</w:t>
      </w:r>
      <w:r w:rsidR="00A2792A">
        <w:t xml:space="preserve">he Commission’s response to the WEC Inquiry. This was currently being reviewed by the Chair prior to sharing with the Scotland and Wales Committees, with a view to publication in late September. It was </w:t>
      </w:r>
      <w:r>
        <w:t>agreed</w:t>
      </w:r>
      <w:r w:rsidR="00A2792A">
        <w:t xml:space="preserve"> that the c</w:t>
      </w:r>
      <w:r w:rsidR="00713737">
        <w:t>hanging administrative landscape</w:t>
      </w:r>
      <w:r w:rsidR="00A2792A">
        <w:t xml:space="preserve"> and Commissioners</w:t>
      </w:r>
      <w:r w:rsidR="002E281F">
        <w:t>’</w:t>
      </w:r>
      <w:r w:rsidR="00A2792A">
        <w:t xml:space="preserve"> discussions on this at the</w:t>
      </w:r>
      <w:r w:rsidR="00FA7C56">
        <w:t xml:space="preserve"> a</w:t>
      </w:r>
      <w:r w:rsidR="00A2792A">
        <w:t>way</w:t>
      </w:r>
      <w:r w:rsidR="00FA7C56">
        <w:t xml:space="preserve"> </w:t>
      </w:r>
      <w:r w:rsidR="00A2792A">
        <w:t>day needed to be reflected in the report, and that – if necessary – the re</w:t>
      </w:r>
      <w:r w:rsidR="00713737">
        <w:t>spo</w:t>
      </w:r>
      <w:r w:rsidR="00A2792A">
        <w:t>n</w:t>
      </w:r>
      <w:r w:rsidR="00713737">
        <w:t>s</w:t>
      </w:r>
      <w:r w:rsidR="00A2792A">
        <w:t>e date be deferred to allow for this.</w:t>
      </w:r>
    </w:p>
    <w:p w14:paraId="4BD07D31" w14:textId="77777777" w:rsidR="00A2792A" w:rsidRDefault="00A2792A" w:rsidP="00355553">
      <w:pPr>
        <w:ind w:left="720" w:hanging="720"/>
      </w:pPr>
    </w:p>
    <w:p w14:paraId="56E9A1FD" w14:textId="754D6976" w:rsidR="001F2603" w:rsidRDefault="001F2603" w:rsidP="00355553">
      <w:pPr>
        <w:ind w:left="720" w:hanging="720"/>
        <w:rPr>
          <w:lang w:val="en"/>
        </w:rPr>
      </w:pPr>
      <w:r>
        <w:t>8.4</w:t>
      </w:r>
      <w:r>
        <w:tab/>
        <w:t xml:space="preserve">The Board noted the appointment of </w:t>
      </w:r>
      <w:proofErr w:type="spellStart"/>
      <w:r>
        <w:t>Rt</w:t>
      </w:r>
      <w:proofErr w:type="spellEnd"/>
      <w:r>
        <w:t xml:space="preserve"> Hon Elizabeth Truss MP as </w:t>
      </w:r>
      <w:r>
        <w:rPr>
          <w:lang w:val="en"/>
        </w:rPr>
        <w:t>Secretary of State for International Trade and President of the Board of Trade and Minister for Women and Equalitie</w:t>
      </w:r>
      <w:r w:rsidR="00713737">
        <w:rPr>
          <w:lang w:val="en"/>
        </w:rPr>
        <w:t>s. The Board asked for further brie</w:t>
      </w:r>
      <w:r>
        <w:rPr>
          <w:lang w:val="en"/>
        </w:rPr>
        <w:t>fing on the new Minister</w:t>
      </w:r>
      <w:r w:rsidR="002E281F">
        <w:rPr>
          <w:lang w:val="en"/>
        </w:rPr>
        <w:t>’</w:t>
      </w:r>
      <w:r>
        <w:rPr>
          <w:lang w:val="en"/>
        </w:rPr>
        <w:t xml:space="preserve">s </w:t>
      </w:r>
      <w:r w:rsidR="00355553">
        <w:rPr>
          <w:lang w:val="en"/>
        </w:rPr>
        <w:t>position on human rights and equality issues (</w:t>
      </w:r>
      <w:r w:rsidR="002E281F">
        <w:rPr>
          <w:b/>
          <w:lang w:val="en"/>
        </w:rPr>
        <w:t>Action Sara</w:t>
      </w:r>
      <w:r w:rsidR="00D7394A">
        <w:rPr>
          <w:b/>
          <w:lang w:val="en"/>
        </w:rPr>
        <w:t>h</w:t>
      </w:r>
      <w:r w:rsidR="002E281F">
        <w:rPr>
          <w:b/>
          <w:lang w:val="en"/>
        </w:rPr>
        <w:t xml:space="preserve"> Macl</w:t>
      </w:r>
      <w:r w:rsidR="00355553" w:rsidRPr="00713737">
        <w:rPr>
          <w:b/>
          <w:lang w:val="en"/>
        </w:rPr>
        <w:t>ean/Tess</w:t>
      </w:r>
      <w:r w:rsidR="00D7394A">
        <w:rPr>
          <w:b/>
          <w:lang w:val="en"/>
        </w:rPr>
        <w:t>a</w:t>
      </w:r>
      <w:r w:rsidR="00355553" w:rsidRPr="00713737">
        <w:rPr>
          <w:b/>
          <w:lang w:val="en"/>
        </w:rPr>
        <w:t xml:space="preserve"> Griffiths</w:t>
      </w:r>
      <w:r w:rsidR="00355553">
        <w:rPr>
          <w:lang w:val="en"/>
        </w:rPr>
        <w:t xml:space="preserve">) and </w:t>
      </w:r>
      <w:proofErr w:type="spellStart"/>
      <w:r>
        <w:rPr>
          <w:lang w:val="en"/>
        </w:rPr>
        <w:t>emphasised</w:t>
      </w:r>
      <w:proofErr w:type="spellEnd"/>
      <w:r>
        <w:rPr>
          <w:lang w:val="en"/>
        </w:rPr>
        <w:t xml:space="preserve"> the importa</w:t>
      </w:r>
      <w:r w:rsidR="00713737">
        <w:rPr>
          <w:lang w:val="en"/>
        </w:rPr>
        <w:t>n</w:t>
      </w:r>
      <w:r>
        <w:rPr>
          <w:lang w:val="en"/>
        </w:rPr>
        <w:t>ce of clar</w:t>
      </w:r>
      <w:r w:rsidR="00355553">
        <w:rPr>
          <w:lang w:val="en"/>
        </w:rPr>
        <w:t>i</w:t>
      </w:r>
      <w:r>
        <w:rPr>
          <w:lang w:val="en"/>
        </w:rPr>
        <w:t>ty on what the Commission</w:t>
      </w:r>
      <w:r w:rsidR="00355553">
        <w:rPr>
          <w:lang w:val="en"/>
        </w:rPr>
        <w:t xml:space="preserve"> w</w:t>
      </w:r>
      <w:r>
        <w:rPr>
          <w:lang w:val="en"/>
        </w:rPr>
        <w:t>as doing in t</w:t>
      </w:r>
      <w:r w:rsidR="00355553">
        <w:rPr>
          <w:lang w:val="en"/>
        </w:rPr>
        <w:t>he workplace and bus</w:t>
      </w:r>
      <w:r w:rsidR="00713737">
        <w:rPr>
          <w:lang w:val="en"/>
        </w:rPr>
        <w:t>i</w:t>
      </w:r>
      <w:r w:rsidR="00355553">
        <w:rPr>
          <w:lang w:val="en"/>
        </w:rPr>
        <w:t>ness space</w:t>
      </w:r>
      <w:r w:rsidR="00713737">
        <w:rPr>
          <w:lang w:val="en"/>
        </w:rPr>
        <w:t>s</w:t>
      </w:r>
      <w:r w:rsidR="00355553">
        <w:rPr>
          <w:lang w:val="en"/>
        </w:rPr>
        <w:t>.</w:t>
      </w:r>
      <w:r>
        <w:rPr>
          <w:lang w:val="en"/>
        </w:rPr>
        <w:t xml:space="preserve"> </w:t>
      </w:r>
    </w:p>
    <w:p w14:paraId="2489C272" w14:textId="77777777" w:rsidR="001F2603" w:rsidRDefault="001F2603" w:rsidP="00355553">
      <w:pPr>
        <w:ind w:left="720" w:hanging="720"/>
      </w:pPr>
    </w:p>
    <w:p w14:paraId="749355CA" w14:textId="2724DC86" w:rsidR="00455449" w:rsidRDefault="00342664" w:rsidP="00455449">
      <w:pPr>
        <w:ind w:left="720" w:hanging="720"/>
      </w:pPr>
      <w:r>
        <w:t>8.5</w:t>
      </w:r>
      <w:r w:rsidR="00355553">
        <w:tab/>
        <w:t xml:space="preserve">The Board asked for further briefing on staff changes at director level. </w:t>
      </w:r>
      <w:r w:rsidR="00455449" w:rsidRPr="00713737">
        <w:rPr>
          <w:b/>
        </w:rPr>
        <w:t>Action</w:t>
      </w:r>
      <w:r w:rsidR="00713737">
        <w:rPr>
          <w:b/>
        </w:rPr>
        <w:t>:</w:t>
      </w:r>
      <w:r w:rsidR="00455449" w:rsidRPr="00713737">
        <w:rPr>
          <w:b/>
        </w:rPr>
        <w:t xml:space="preserve"> Ben Wilson.</w:t>
      </w:r>
      <w:r w:rsidR="00455449">
        <w:t xml:space="preserve"> It was noted that </w:t>
      </w:r>
      <w:r w:rsidR="00355553">
        <w:t>HRRC had identified talent management as an area for further discussion</w:t>
      </w:r>
      <w:r w:rsidR="00455449">
        <w:t>.</w:t>
      </w:r>
    </w:p>
    <w:p w14:paraId="3416761D" w14:textId="77777777" w:rsidR="003C27F7" w:rsidRDefault="003C27F7" w:rsidP="00203949">
      <w:pPr>
        <w:ind w:left="720" w:hanging="720"/>
        <w:rPr>
          <w:rFonts w:cs="Arial"/>
          <w:b/>
          <w:i/>
        </w:rPr>
      </w:pPr>
    </w:p>
    <w:p w14:paraId="1D564F9A" w14:textId="2B2940A8" w:rsidR="00DB45A6" w:rsidRPr="00B23F7A" w:rsidRDefault="008B734B" w:rsidP="00FA7C56">
      <w:pPr>
        <w:pStyle w:val="Heading2"/>
        <w:ind w:left="720"/>
      </w:pPr>
      <w:r w:rsidRPr="00B23F7A">
        <w:t xml:space="preserve">Finance Report </w:t>
      </w:r>
    </w:p>
    <w:p w14:paraId="13387F85" w14:textId="77777777" w:rsidR="00DB45A6" w:rsidRPr="00624A20" w:rsidRDefault="00DB45A6" w:rsidP="00203949">
      <w:pPr>
        <w:ind w:left="720" w:hanging="720"/>
        <w:rPr>
          <w:rFonts w:cs="Arial"/>
        </w:rPr>
      </w:pPr>
    </w:p>
    <w:p w14:paraId="7AE66474" w14:textId="7F947D7B" w:rsidR="00983A27" w:rsidRPr="00713737" w:rsidRDefault="002E7D50" w:rsidP="00FA7C56">
      <w:pPr>
        <w:ind w:left="720" w:hanging="720"/>
        <w:rPr>
          <w:b/>
          <w:i/>
        </w:rPr>
      </w:pPr>
      <w:r>
        <w:rPr>
          <w:rFonts w:cs="Arial"/>
        </w:rPr>
        <w:t>8.6</w:t>
      </w:r>
      <w:r w:rsidR="003C27F7" w:rsidRPr="002C51D6">
        <w:rPr>
          <w:rFonts w:cs="Arial"/>
        </w:rPr>
        <w:tab/>
      </w:r>
      <w:r w:rsidR="00983A27" w:rsidRPr="002C51D6">
        <w:rPr>
          <w:rFonts w:cs="Arial"/>
        </w:rPr>
        <w:t xml:space="preserve">The Board noted </w:t>
      </w:r>
      <w:r w:rsidR="00983A27" w:rsidRPr="002C51D6">
        <w:t>the Forecast outturn at Period 4</w:t>
      </w:r>
      <w:r w:rsidR="00713737">
        <w:t>.</w:t>
      </w:r>
      <w:r w:rsidR="00983A27" w:rsidRPr="002C51D6">
        <w:t xml:space="preserve"> </w:t>
      </w:r>
      <w:r w:rsidR="00713737">
        <w:t>P</w:t>
      </w:r>
      <w:r w:rsidR="00983A27" w:rsidRPr="002C51D6">
        <w:rPr>
          <w:lang w:eastAsia="en-GB"/>
        </w:rPr>
        <w:t>ressures on the Legal budget including increased costs on investigation</w:t>
      </w:r>
      <w:r w:rsidR="00E80C89" w:rsidRPr="002C51D6">
        <w:rPr>
          <w:lang w:eastAsia="en-GB"/>
        </w:rPr>
        <w:t>s had</w:t>
      </w:r>
      <w:r w:rsidR="00983A27" w:rsidRPr="002C51D6">
        <w:rPr>
          <w:lang w:eastAsia="en-GB"/>
        </w:rPr>
        <w:t xml:space="preserve"> been </w:t>
      </w:r>
      <w:r w:rsidR="00E80C89" w:rsidRPr="002C51D6">
        <w:rPr>
          <w:lang w:eastAsia="en-GB"/>
        </w:rPr>
        <w:t>substantially</w:t>
      </w:r>
      <w:r w:rsidR="00983A27" w:rsidRPr="002C51D6">
        <w:rPr>
          <w:lang w:eastAsia="en-GB"/>
        </w:rPr>
        <w:t xml:space="preserve"> offset by the </w:t>
      </w:r>
      <w:r w:rsidR="00E80C89" w:rsidRPr="002C51D6">
        <w:rPr>
          <w:lang w:eastAsia="en-GB"/>
        </w:rPr>
        <w:t>‘</w:t>
      </w:r>
      <w:r w:rsidR="00983A27" w:rsidRPr="002C51D6">
        <w:rPr>
          <w:lang w:eastAsia="en-GB"/>
        </w:rPr>
        <w:t>dialling down</w:t>
      </w:r>
      <w:r w:rsidR="00E80C89" w:rsidRPr="002C51D6">
        <w:rPr>
          <w:lang w:eastAsia="en-GB"/>
        </w:rPr>
        <w:t>’</w:t>
      </w:r>
      <w:r w:rsidR="00983A27" w:rsidRPr="002C51D6">
        <w:rPr>
          <w:lang w:eastAsia="en-GB"/>
        </w:rPr>
        <w:t xml:space="preserve"> </w:t>
      </w:r>
      <w:r w:rsidR="002E281F" w:rsidRPr="00FA7C56">
        <w:rPr>
          <w:lang w:eastAsia="en-GB"/>
        </w:rPr>
        <w:t>of</w:t>
      </w:r>
      <w:r w:rsidR="00983A27" w:rsidRPr="00FA7C56">
        <w:rPr>
          <w:lang w:eastAsia="en-GB"/>
        </w:rPr>
        <w:t xml:space="preserve"> </w:t>
      </w:r>
      <w:r w:rsidR="00983A27" w:rsidRPr="002C51D6">
        <w:rPr>
          <w:lang w:eastAsia="en-GB"/>
        </w:rPr>
        <w:t>Compliance and Research teams</w:t>
      </w:r>
      <w:r w:rsidR="002E281F">
        <w:rPr>
          <w:b/>
          <w:i/>
          <w:lang w:eastAsia="en-GB"/>
        </w:rPr>
        <w:t xml:space="preserve">’ </w:t>
      </w:r>
      <w:r w:rsidR="00713737">
        <w:rPr>
          <w:lang w:eastAsia="en-GB"/>
        </w:rPr>
        <w:t>spending</w:t>
      </w:r>
      <w:r w:rsidR="00E80C89" w:rsidRPr="00713737">
        <w:rPr>
          <w:lang w:eastAsia="en-GB"/>
        </w:rPr>
        <w:t xml:space="preserve"> (including delaying the initiation of an Inquiry, and taking on some research activity in-house), and </w:t>
      </w:r>
      <w:r w:rsidR="00713737">
        <w:rPr>
          <w:lang w:eastAsia="en-GB"/>
        </w:rPr>
        <w:t xml:space="preserve">by </w:t>
      </w:r>
      <w:r w:rsidR="00E80C89" w:rsidRPr="00713737">
        <w:rPr>
          <w:lang w:eastAsia="en-GB"/>
        </w:rPr>
        <w:t xml:space="preserve">some </w:t>
      </w:r>
      <w:r w:rsidR="00713737">
        <w:rPr>
          <w:lang w:eastAsia="en-GB"/>
        </w:rPr>
        <w:t xml:space="preserve">changes </w:t>
      </w:r>
      <w:r w:rsidR="00E80C89" w:rsidRPr="00713737">
        <w:rPr>
          <w:lang w:eastAsia="en-GB"/>
        </w:rPr>
        <w:t>to L</w:t>
      </w:r>
      <w:r w:rsidR="00983A27" w:rsidRPr="00713737">
        <w:rPr>
          <w:lang w:eastAsia="en-GB"/>
        </w:rPr>
        <w:t xml:space="preserve">egal </w:t>
      </w:r>
      <w:r w:rsidR="00E80C89" w:rsidRPr="00713737">
        <w:rPr>
          <w:lang w:eastAsia="en-GB"/>
        </w:rPr>
        <w:t xml:space="preserve">team’s </w:t>
      </w:r>
      <w:r w:rsidR="00983A27" w:rsidRPr="00713737">
        <w:rPr>
          <w:lang w:eastAsia="en-GB"/>
        </w:rPr>
        <w:t>delivery approach.</w:t>
      </w:r>
    </w:p>
    <w:p w14:paraId="29964A0E" w14:textId="77777777" w:rsidR="00E80C89" w:rsidRPr="002C51D6" w:rsidRDefault="00E80C89" w:rsidP="002C51D6">
      <w:pPr>
        <w:ind w:left="2160" w:hanging="720"/>
      </w:pPr>
    </w:p>
    <w:p w14:paraId="05DEB538" w14:textId="5BC6EA26" w:rsidR="00983A27" w:rsidRPr="00E80C89" w:rsidRDefault="002E7D50" w:rsidP="002C51D6">
      <w:pPr>
        <w:ind w:left="720" w:hanging="720"/>
        <w:rPr>
          <w:rFonts w:eastAsia="Times New Roman"/>
          <w:lang w:eastAsia="en-GB"/>
        </w:rPr>
      </w:pPr>
      <w:r>
        <w:t>8.7</w:t>
      </w:r>
      <w:r w:rsidR="002C51D6">
        <w:tab/>
        <w:t>The B</w:t>
      </w:r>
      <w:r w:rsidR="002E281F">
        <w:t>o</w:t>
      </w:r>
      <w:r w:rsidR="002C51D6">
        <w:t>ard noted t</w:t>
      </w:r>
      <w:r w:rsidR="002E281F">
        <w:t>he year-to-</w:t>
      </w:r>
      <w:r w:rsidR="00E80C89" w:rsidRPr="00E80C89">
        <w:t xml:space="preserve">date </w:t>
      </w:r>
      <w:r w:rsidR="00983A27" w:rsidRPr="00E80C89">
        <w:t xml:space="preserve">resource expenditure </w:t>
      </w:r>
      <w:r w:rsidR="00983A27" w:rsidRPr="00E80C89">
        <w:rPr>
          <w:rFonts w:eastAsia="Times New Roman"/>
          <w:lang w:eastAsia="en-GB"/>
        </w:rPr>
        <w:t xml:space="preserve">underspend </w:t>
      </w:r>
      <w:r w:rsidR="00E80C89" w:rsidRPr="00E80C89">
        <w:rPr>
          <w:rFonts w:eastAsia="Times New Roman"/>
          <w:lang w:eastAsia="en-GB"/>
        </w:rPr>
        <w:t>which reflected</w:t>
      </w:r>
      <w:r w:rsidR="00983A27" w:rsidRPr="00E80C89">
        <w:rPr>
          <w:rFonts w:eastAsia="Times New Roman"/>
          <w:lang w:eastAsia="en-GB"/>
        </w:rPr>
        <w:t xml:space="preserve"> timing differences across a range o</w:t>
      </w:r>
      <w:r w:rsidR="00E80C89">
        <w:rPr>
          <w:rFonts w:eastAsia="Times New Roman"/>
          <w:lang w:eastAsia="en-GB"/>
        </w:rPr>
        <w:t>f Priority Aims activities</w:t>
      </w:r>
      <w:r w:rsidR="00E80C89" w:rsidRPr="00E80C89">
        <w:rPr>
          <w:rFonts w:eastAsia="Times New Roman"/>
          <w:lang w:eastAsia="en-GB"/>
        </w:rPr>
        <w:t xml:space="preserve">. It was </w:t>
      </w:r>
      <w:r w:rsidR="00E80C89" w:rsidRPr="00E80C89">
        <w:rPr>
          <w:rFonts w:eastAsia="Times New Roman"/>
          <w:lang w:eastAsia="en-GB"/>
        </w:rPr>
        <w:lastRenderedPageBreak/>
        <w:t xml:space="preserve">anticipated that these would be on track </w:t>
      </w:r>
      <w:r w:rsidR="00983A27" w:rsidRPr="00E80C89">
        <w:rPr>
          <w:rFonts w:eastAsia="Times New Roman"/>
          <w:lang w:eastAsia="en-GB"/>
        </w:rPr>
        <w:t>before the end of the financial year, with no impact on overall delivery.</w:t>
      </w:r>
    </w:p>
    <w:p w14:paraId="7407D4FF" w14:textId="77777777" w:rsidR="00E80C89" w:rsidRDefault="00E80C89" w:rsidP="002C51D6">
      <w:pPr>
        <w:ind w:left="2160" w:hanging="720"/>
        <w:rPr>
          <w:noProof/>
        </w:rPr>
      </w:pPr>
    </w:p>
    <w:p w14:paraId="196E34AD" w14:textId="1A4C1575" w:rsidR="007D2AAA" w:rsidRDefault="002E7D50" w:rsidP="002C51D6">
      <w:pPr>
        <w:ind w:left="720" w:hanging="720"/>
      </w:pPr>
      <w:r>
        <w:rPr>
          <w:noProof/>
        </w:rPr>
        <w:t>8.8</w:t>
      </w:r>
      <w:r w:rsidR="00713737">
        <w:rPr>
          <w:noProof/>
        </w:rPr>
        <w:tab/>
        <w:t xml:space="preserve">The Board </w:t>
      </w:r>
      <w:r w:rsidR="002C51D6">
        <w:rPr>
          <w:noProof/>
        </w:rPr>
        <w:t>noted t</w:t>
      </w:r>
      <w:r w:rsidR="00983A27" w:rsidRPr="00E80C89">
        <w:rPr>
          <w:noProof/>
        </w:rPr>
        <w:t xml:space="preserve">he financial risks in relation to the forecast outturn </w:t>
      </w:r>
      <w:r w:rsidR="00E80C89" w:rsidRPr="00E80C89">
        <w:rPr>
          <w:noProof/>
        </w:rPr>
        <w:t xml:space="preserve">particularly those reating to the </w:t>
      </w:r>
      <w:r w:rsidR="00983A27" w:rsidRPr="00E80C89">
        <w:t>outcomes of legal</w:t>
      </w:r>
      <w:r w:rsidR="00713737">
        <w:t xml:space="preserve"> cases to which the Commission wa</w:t>
      </w:r>
      <w:r w:rsidR="00983A27" w:rsidRPr="00E80C89">
        <w:t xml:space="preserve">s a party. </w:t>
      </w:r>
      <w:r w:rsidR="00E80C89">
        <w:t>It was noted that t</w:t>
      </w:r>
      <w:r w:rsidR="00983A27" w:rsidRPr="00E80C89">
        <w:t>he outcomes of these cases c</w:t>
      </w:r>
      <w:r w:rsidR="00713737">
        <w:t>ould not</w:t>
      </w:r>
      <w:r w:rsidR="00983A27" w:rsidRPr="00E80C89">
        <w:t xml:space="preserve"> be p</w:t>
      </w:r>
      <w:r w:rsidR="00E80C89">
        <w:t>redicted with certainty, and might</w:t>
      </w:r>
      <w:r w:rsidR="00983A27" w:rsidRPr="00E80C89">
        <w:t xml:space="preserve"> fall late in the financial year</w:t>
      </w:r>
      <w:r w:rsidR="00E80C89">
        <w:t>.</w:t>
      </w:r>
      <w:r w:rsidR="00983A27" w:rsidRPr="00E80C89">
        <w:t xml:space="preserve"> </w:t>
      </w:r>
      <w:r w:rsidR="002C51D6">
        <w:t>The Board</w:t>
      </w:r>
      <w:r w:rsidR="007D2AAA">
        <w:t>:</w:t>
      </w:r>
    </w:p>
    <w:p w14:paraId="20D8B2C1" w14:textId="77777777" w:rsidR="00576000" w:rsidRDefault="00576000" w:rsidP="002C51D6">
      <w:pPr>
        <w:ind w:left="720" w:hanging="720"/>
      </w:pPr>
    </w:p>
    <w:p w14:paraId="4082C647" w14:textId="754E325D" w:rsidR="00713737" w:rsidRDefault="002C51D6" w:rsidP="00713737">
      <w:pPr>
        <w:pStyle w:val="ListParagraph"/>
        <w:numPr>
          <w:ilvl w:val="0"/>
          <w:numId w:val="10"/>
        </w:numPr>
      </w:pPr>
      <w:r>
        <w:t xml:space="preserve">welcomed the improved capacity in the PEU and Finance teams and the </w:t>
      </w:r>
      <w:r w:rsidR="00A85B95">
        <w:t>more thoroughgoing approach to assessing the pote</w:t>
      </w:r>
      <w:r w:rsidR="00713737">
        <w:t>nt</w:t>
      </w:r>
      <w:r w:rsidR="00A85B95">
        <w:t>ial up</w:t>
      </w:r>
      <w:r w:rsidR="00713737">
        <w:t>si</w:t>
      </w:r>
      <w:r w:rsidR="00A85B95">
        <w:t>d</w:t>
      </w:r>
      <w:r w:rsidR="00713737">
        <w:t>e</w:t>
      </w:r>
      <w:r w:rsidR="00A85B95">
        <w:t xml:space="preserve"> and down</w:t>
      </w:r>
      <w:r w:rsidR="00713737">
        <w:t>side risks that these presented;</w:t>
      </w:r>
    </w:p>
    <w:p w14:paraId="6F1C7BF3" w14:textId="520FBAEC" w:rsidR="007D2AAA" w:rsidRDefault="0038378E" w:rsidP="00713737">
      <w:pPr>
        <w:pStyle w:val="ListParagraph"/>
        <w:ind w:left="1440"/>
      </w:pPr>
      <w:r>
        <w:t xml:space="preserve"> </w:t>
      </w:r>
    </w:p>
    <w:p w14:paraId="610CF076" w14:textId="678AC176" w:rsidR="00713737" w:rsidRDefault="0038378E" w:rsidP="00713737">
      <w:pPr>
        <w:pStyle w:val="ListParagraph"/>
        <w:numPr>
          <w:ilvl w:val="0"/>
          <w:numId w:val="10"/>
        </w:numPr>
      </w:pPr>
      <w:proofErr w:type="gramStart"/>
      <w:r>
        <w:t>noted</w:t>
      </w:r>
      <w:proofErr w:type="gramEnd"/>
      <w:r>
        <w:t xml:space="preserve"> that </w:t>
      </w:r>
      <w:r w:rsidR="007D2AAA">
        <w:t xml:space="preserve">managing </w:t>
      </w:r>
      <w:r>
        <w:t xml:space="preserve">stakeholder </w:t>
      </w:r>
      <w:r w:rsidR="007D2AAA">
        <w:t xml:space="preserve">relations was factored into executive decision making on which </w:t>
      </w:r>
      <w:r w:rsidR="00F31C4C">
        <w:t>activities</w:t>
      </w:r>
      <w:r w:rsidR="007D2AAA">
        <w:t xml:space="preserve"> to dial up or down. The Commission was unlikely </w:t>
      </w:r>
      <w:r w:rsidR="00713737">
        <w:t>to scale back work where public</w:t>
      </w:r>
      <w:r w:rsidR="007D2AAA">
        <w:t xml:space="preserve"> c</w:t>
      </w:r>
      <w:r w:rsidR="00713737">
        <w:t>o</w:t>
      </w:r>
      <w:r w:rsidR="007D2AAA">
        <w:t>mmitm</w:t>
      </w:r>
      <w:r w:rsidR="00713737">
        <w:t>en</w:t>
      </w:r>
      <w:r w:rsidR="007D2AAA">
        <w:t>ts had been made, and likely increased or decreased impacts were discussed with key stak</w:t>
      </w:r>
      <w:r w:rsidR="00713737">
        <w:t>eholders at the earliest stage;</w:t>
      </w:r>
    </w:p>
    <w:p w14:paraId="1B5D259B" w14:textId="17B7CE05" w:rsidR="00E80C89" w:rsidRDefault="00E80C89" w:rsidP="00713737"/>
    <w:p w14:paraId="11440A75" w14:textId="0DB0BA98" w:rsidR="00A85B95" w:rsidRDefault="007D2AAA" w:rsidP="00576000">
      <w:pPr>
        <w:ind w:left="1440" w:hanging="720"/>
      </w:pPr>
      <w:r>
        <w:t>c)</w:t>
      </w:r>
      <w:r>
        <w:tab/>
      </w:r>
      <w:proofErr w:type="gramStart"/>
      <w:r>
        <w:t>noted</w:t>
      </w:r>
      <w:proofErr w:type="gramEnd"/>
      <w:r>
        <w:t xml:space="preserve"> that the Commiss</w:t>
      </w:r>
      <w:r w:rsidR="00713737">
        <w:t>i</w:t>
      </w:r>
      <w:r>
        <w:t xml:space="preserve">on was in </w:t>
      </w:r>
      <w:r w:rsidR="00713737">
        <w:t>l</w:t>
      </w:r>
      <w:r>
        <w:t>ia</w:t>
      </w:r>
      <w:r w:rsidR="00713737">
        <w:t>i</w:t>
      </w:r>
      <w:r>
        <w:t xml:space="preserve">son with the </w:t>
      </w:r>
      <w:r w:rsidR="0069718F" w:rsidRPr="0069718F">
        <w:t>Government Legal D</w:t>
      </w:r>
      <w:r w:rsidRPr="0069718F">
        <w:t>epartme</w:t>
      </w:r>
      <w:r w:rsidR="00713737" w:rsidRPr="0069718F">
        <w:t>n</w:t>
      </w:r>
      <w:r w:rsidRPr="0069718F">
        <w:t xml:space="preserve">t with a view to sharing and learning lessons from managing legal </w:t>
      </w:r>
      <w:r w:rsidR="00713737" w:rsidRPr="0069718F">
        <w:t xml:space="preserve">casework </w:t>
      </w:r>
      <w:r w:rsidRPr="0069718F">
        <w:t>throughput.</w:t>
      </w:r>
    </w:p>
    <w:p w14:paraId="48A5A59E" w14:textId="77777777" w:rsidR="00576000" w:rsidRDefault="00576000" w:rsidP="00576000">
      <w:pPr>
        <w:ind w:left="720"/>
      </w:pPr>
    </w:p>
    <w:p w14:paraId="71B415D6" w14:textId="5F4FCAE5" w:rsidR="00576000" w:rsidRDefault="007D2AAA" w:rsidP="00576000">
      <w:pPr>
        <w:ind w:left="1440" w:hanging="720"/>
      </w:pPr>
      <w:r>
        <w:t>d)</w:t>
      </w:r>
      <w:r>
        <w:tab/>
      </w:r>
      <w:proofErr w:type="gramStart"/>
      <w:r>
        <w:t>was</w:t>
      </w:r>
      <w:proofErr w:type="gramEnd"/>
      <w:r>
        <w:t xml:space="preserve"> advised that </w:t>
      </w:r>
      <w:r w:rsidR="00713737">
        <w:t>with</w:t>
      </w:r>
      <w:r>
        <w:t xml:space="preserve"> both investigations </w:t>
      </w:r>
      <w:r w:rsidR="00713737">
        <w:t xml:space="preserve">well-advanced, </w:t>
      </w:r>
      <w:r>
        <w:t xml:space="preserve">the current predictions on spend </w:t>
      </w:r>
      <w:r w:rsidR="007C694D">
        <w:t>were able to</w:t>
      </w:r>
      <w:r w:rsidR="00713737">
        <w:t xml:space="preserve"> be </w:t>
      </w:r>
      <w:r w:rsidR="00576000">
        <w:t xml:space="preserve">considerably more accurate that the forecast at </w:t>
      </w:r>
      <w:r w:rsidR="0069718F">
        <w:t>initiation</w:t>
      </w:r>
      <w:r w:rsidR="00576000">
        <w:t xml:space="preserve">. It was noted that these were only the second and third investigations to be carried out by the Commission and although substantial lessons had been </w:t>
      </w:r>
      <w:r w:rsidR="002E281F">
        <w:t>gained</w:t>
      </w:r>
      <w:r w:rsidR="00576000">
        <w:t xml:space="preserve"> fr</w:t>
      </w:r>
      <w:r w:rsidR="002E281F">
        <w:t>o</w:t>
      </w:r>
      <w:r w:rsidR="00576000">
        <w:t>m the</w:t>
      </w:r>
      <w:r w:rsidR="007C694D">
        <w:t xml:space="preserve"> Commission’s earlier</w:t>
      </w:r>
      <w:r w:rsidR="00576000">
        <w:t xml:space="preserve"> </w:t>
      </w:r>
      <w:r w:rsidR="007C694D">
        <w:t>investigatio</w:t>
      </w:r>
      <w:r w:rsidR="002E281F">
        <w:t>n into the Metropolitan Police S</w:t>
      </w:r>
      <w:r w:rsidR="007C694D">
        <w:t>ervice</w:t>
      </w:r>
      <w:r w:rsidR="00576000">
        <w:t xml:space="preserve">, the evidence base for spending assumptions </w:t>
      </w:r>
      <w:r w:rsidR="007C694D">
        <w:t xml:space="preserve">remained </w:t>
      </w:r>
      <w:r w:rsidR="00576000">
        <w:t>limited,</w:t>
      </w:r>
      <w:r w:rsidR="007C694D">
        <w:t xml:space="preserve"> </w:t>
      </w:r>
      <w:r w:rsidR="00576000">
        <w:t>and initiation of investigations inevitably factored in a</w:t>
      </w:r>
      <w:r w:rsidR="007C694D">
        <w:t xml:space="preserve"> number of unknowns;</w:t>
      </w:r>
    </w:p>
    <w:p w14:paraId="59DE851E" w14:textId="77777777" w:rsidR="00576000" w:rsidRDefault="00576000" w:rsidP="00576000">
      <w:pPr>
        <w:ind w:left="1440" w:hanging="720"/>
      </w:pPr>
    </w:p>
    <w:p w14:paraId="3F0C7440" w14:textId="3887AFB1" w:rsidR="00F31C4C" w:rsidRDefault="007C694D" w:rsidP="00F31C4C">
      <w:pPr>
        <w:ind w:left="1440" w:hanging="720"/>
        <w:rPr>
          <w:rFonts w:cs="Arial"/>
          <w:color w:val="1F497D"/>
        </w:rPr>
      </w:pPr>
      <w:r>
        <w:t>e)</w:t>
      </w:r>
      <w:r>
        <w:tab/>
      </w:r>
      <w:proofErr w:type="gramStart"/>
      <w:r>
        <w:t>n</w:t>
      </w:r>
      <w:r w:rsidR="00576000">
        <w:t>ote</w:t>
      </w:r>
      <w:r w:rsidR="00F31C4C">
        <w:t>d</w:t>
      </w:r>
      <w:proofErr w:type="gramEnd"/>
      <w:r w:rsidR="00F31C4C">
        <w:t xml:space="preserve"> that </w:t>
      </w:r>
      <w:r w:rsidR="00F31C4C">
        <w:rPr>
          <w:rFonts w:cs="Arial"/>
        </w:rPr>
        <w:t>the Commission was monitoring how Counsel was being sought with a view to ensuring it was being used appropriately and delivering value for money, and was considering options for improving in-house expertise.</w:t>
      </w:r>
    </w:p>
    <w:p w14:paraId="5F173E2F" w14:textId="454118BE" w:rsidR="007D2AAA" w:rsidRDefault="007D2AAA" w:rsidP="00576000">
      <w:pPr>
        <w:ind w:left="1440" w:hanging="720"/>
      </w:pPr>
    </w:p>
    <w:p w14:paraId="2B472B68" w14:textId="64E2EAD2" w:rsidR="00A85B95" w:rsidRDefault="002E7D50" w:rsidP="002C51D6">
      <w:pPr>
        <w:ind w:left="720" w:hanging="720"/>
      </w:pPr>
      <w:r>
        <w:t>8.9</w:t>
      </w:r>
      <w:r w:rsidR="002C51D6">
        <w:tab/>
      </w:r>
      <w:r w:rsidR="00576000">
        <w:t>The Board was pleased</w:t>
      </w:r>
      <w:r w:rsidR="00A67E76">
        <w:t xml:space="preserve"> </w:t>
      </w:r>
      <w:r w:rsidR="00576000">
        <w:t xml:space="preserve">that </w:t>
      </w:r>
      <w:r w:rsidR="00A85B95">
        <w:t>t</w:t>
      </w:r>
      <w:r w:rsidR="007C694D">
        <w:t>hat the financial improvement p</w:t>
      </w:r>
      <w:r w:rsidR="00A85B95">
        <w:t>lan was well under way, with 12 of 18 actions having been initiated or completed. ARAC would be d</w:t>
      </w:r>
      <w:r w:rsidR="002C51D6">
        <w:t>is</w:t>
      </w:r>
      <w:r w:rsidR="00A85B95">
        <w:t>cussing this further at its meeting of 18 September.</w:t>
      </w:r>
    </w:p>
    <w:p w14:paraId="754E6911" w14:textId="77777777" w:rsidR="007D2AAA" w:rsidRDefault="007D2AAA" w:rsidP="00983A27"/>
    <w:p w14:paraId="13452E86" w14:textId="3E7DB6CD" w:rsidR="00A67E76" w:rsidRDefault="002E7D50" w:rsidP="00A67E76">
      <w:pPr>
        <w:ind w:left="720" w:hanging="720"/>
      </w:pPr>
      <w:r>
        <w:t>8.10</w:t>
      </w:r>
      <w:r w:rsidR="00576000">
        <w:tab/>
      </w:r>
      <w:r w:rsidR="00A67E76">
        <w:t xml:space="preserve">In advance of the discussion at </w:t>
      </w:r>
      <w:r w:rsidR="00A67E76" w:rsidRPr="002E281F">
        <w:rPr>
          <w:u w:val="single"/>
        </w:rPr>
        <w:t>item 9</w:t>
      </w:r>
      <w:r w:rsidR="00A67E76">
        <w:t>, t</w:t>
      </w:r>
      <w:r w:rsidR="00576000">
        <w:t xml:space="preserve">he Board </w:t>
      </w:r>
      <w:r w:rsidR="00A67E76">
        <w:t xml:space="preserve">discussed </w:t>
      </w:r>
      <w:r w:rsidR="00576000">
        <w:t>planne</w:t>
      </w:r>
      <w:r w:rsidR="00A67E76">
        <w:t xml:space="preserve">d expenditure on Communications. </w:t>
      </w:r>
      <w:r w:rsidR="007C694D">
        <w:t>They queried w</w:t>
      </w:r>
      <w:r w:rsidR="00A67E76">
        <w:t>hether the budget was sufficient to support the Commission</w:t>
      </w:r>
      <w:r w:rsidR="002E281F">
        <w:t>’</w:t>
      </w:r>
      <w:r w:rsidR="00A67E76">
        <w:t>s planned activities across the piece, and particular in</w:t>
      </w:r>
      <w:r w:rsidR="002E281F">
        <w:t xml:space="preserve"> those areas identified at the a</w:t>
      </w:r>
      <w:r w:rsidR="00A67E76">
        <w:t>way</w:t>
      </w:r>
      <w:r w:rsidR="002E281F">
        <w:t xml:space="preserve"> </w:t>
      </w:r>
      <w:r w:rsidR="00A67E76">
        <w:t>day. The Board:</w:t>
      </w:r>
    </w:p>
    <w:p w14:paraId="5A6E30A4" w14:textId="77777777" w:rsidR="00A67E76" w:rsidRDefault="00A67E76" w:rsidP="004D70E0">
      <w:pPr>
        <w:ind w:left="1440" w:hanging="720"/>
      </w:pPr>
    </w:p>
    <w:p w14:paraId="6A809BC9" w14:textId="36D1417E" w:rsidR="00A67E76" w:rsidRDefault="007C694D" w:rsidP="004D70E0">
      <w:pPr>
        <w:ind w:left="1440" w:hanging="720"/>
      </w:pPr>
      <w:proofErr w:type="gramStart"/>
      <w:r>
        <w:t>a</w:t>
      </w:r>
      <w:proofErr w:type="gramEnd"/>
      <w:r>
        <w:t>)</w:t>
      </w:r>
      <w:r>
        <w:tab/>
        <w:t>a</w:t>
      </w:r>
      <w:r w:rsidR="004D70E0">
        <w:t>cknowledged t</w:t>
      </w:r>
      <w:r w:rsidR="00A67E76">
        <w:t>he quality of the exi</w:t>
      </w:r>
      <w:r>
        <w:t>sting work being carried out in-</w:t>
      </w:r>
      <w:r w:rsidR="00A67E76">
        <w:t>house by the Communications team</w:t>
      </w:r>
      <w:r w:rsidR="002E281F">
        <w:t>;</w:t>
      </w:r>
    </w:p>
    <w:p w14:paraId="14CA5159" w14:textId="77777777" w:rsidR="002E281F" w:rsidRDefault="002E281F" w:rsidP="004D70E0">
      <w:pPr>
        <w:ind w:left="1440" w:hanging="720"/>
      </w:pPr>
    </w:p>
    <w:p w14:paraId="3EFEA004" w14:textId="737E14B4" w:rsidR="00983A27" w:rsidRDefault="007C694D" w:rsidP="004D70E0">
      <w:pPr>
        <w:ind w:left="1440" w:hanging="720"/>
      </w:pPr>
      <w:r>
        <w:lastRenderedPageBreak/>
        <w:t>b)</w:t>
      </w:r>
      <w:r>
        <w:tab/>
      </w:r>
      <w:proofErr w:type="gramStart"/>
      <w:r>
        <w:t>n</w:t>
      </w:r>
      <w:r w:rsidR="004D70E0">
        <w:t>oted</w:t>
      </w:r>
      <w:proofErr w:type="gramEnd"/>
      <w:r w:rsidR="004D70E0">
        <w:t xml:space="preserve"> </w:t>
      </w:r>
      <w:r>
        <w:t>t</w:t>
      </w:r>
      <w:r w:rsidR="00A67E76">
        <w:t>hat commun</w:t>
      </w:r>
      <w:r>
        <w:t>ic</w:t>
      </w:r>
      <w:r w:rsidR="00A67E76">
        <w:t xml:space="preserve">ations activity, particularly content and digital production, was relatively straightforward to dial up in comparison </w:t>
      </w:r>
      <w:r w:rsidR="0069718F">
        <w:t>to other</w:t>
      </w:r>
      <w:r>
        <w:t xml:space="preserve"> areas of the Commis</w:t>
      </w:r>
      <w:r w:rsidR="00A67E76">
        <w:t>s</w:t>
      </w:r>
      <w:r>
        <w:t>i</w:t>
      </w:r>
      <w:r w:rsidR="00A67E76">
        <w:t>on</w:t>
      </w:r>
      <w:r>
        <w:t>’</w:t>
      </w:r>
      <w:r w:rsidR="00A67E76">
        <w:t>s work</w:t>
      </w:r>
      <w:r w:rsidR="004D70E0">
        <w:t>.</w:t>
      </w:r>
    </w:p>
    <w:p w14:paraId="67200F19" w14:textId="77777777" w:rsidR="007C694D" w:rsidRDefault="007C694D" w:rsidP="004D70E0">
      <w:pPr>
        <w:ind w:left="1440" w:hanging="720"/>
      </w:pPr>
    </w:p>
    <w:p w14:paraId="3169457C" w14:textId="44F66AC9" w:rsidR="004D70E0" w:rsidRDefault="004D70E0" w:rsidP="004D70E0">
      <w:pPr>
        <w:ind w:left="1440" w:hanging="720"/>
      </w:pPr>
      <w:r>
        <w:t>c)</w:t>
      </w:r>
      <w:r>
        <w:tab/>
        <w:t>Fe</w:t>
      </w:r>
      <w:r w:rsidR="007C694D">
        <w:t xml:space="preserve">lt that further data </w:t>
      </w:r>
      <w:r>
        <w:t>on the split between spend on communic</w:t>
      </w:r>
      <w:r w:rsidR="007C694D">
        <w:t>at</w:t>
      </w:r>
      <w:r>
        <w:t>ions infrastructure and communication product would be helpful management information</w:t>
      </w:r>
      <w:r w:rsidR="007C694D">
        <w:t>;</w:t>
      </w:r>
      <w:r>
        <w:t xml:space="preserve"> </w:t>
      </w:r>
    </w:p>
    <w:p w14:paraId="4D59EB75" w14:textId="77777777" w:rsidR="00A67E76" w:rsidRDefault="00A67E76" w:rsidP="00983A27"/>
    <w:p w14:paraId="06FBB68D" w14:textId="5797C07C" w:rsidR="004D70E0" w:rsidRDefault="004D70E0" w:rsidP="004D70E0">
      <w:pPr>
        <w:ind w:left="1440" w:hanging="720"/>
      </w:pPr>
      <w:r>
        <w:t>d)</w:t>
      </w:r>
      <w:r>
        <w:tab/>
        <w:t>Asked to revisit Commu</w:t>
      </w:r>
      <w:r w:rsidR="007C694D">
        <w:t>nic</w:t>
      </w:r>
      <w:r>
        <w:t>at</w:t>
      </w:r>
      <w:r w:rsidR="002E281F">
        <w:t>ions spend at the Board’s next meeting in the light of the a</w:t>
      </w:r>
      <w:r>
        <w:t>way</w:t>
      </w:r>
      <w:r w:rsidR="002E281F">
        <w:t xml:space="preserve"> </w:t>
      </w:r>
      <w:r>
        <w:t>day discussion</w:t>
      </w:r>
      <w:r w:rsidR="002E281F">
        <w:t>.</w:t>
      </w:r>
      <w:r>
        <w:t xml:space="preserve"> </w:t>
      </w:r>
      <w:r w:rsidRPr="004D70E0">
        <w:rPr>
          <w:b/>
        </w:rPr>
        <w:t>Action: Ben Wilson</w:t>
      </w:r>
    </w:p>
    <w:p w14:paraId="19B26EA1" w14:textId="77777777" w:rsidR="004D70E0" w:rsidRDefault="004D70E0" w:rsidP="00983A27"/>
    <w:p w14:paraId="731FFD42" w14:textId="5319780E" w:rsidR="008A1F77" w:rsidRPr="00624A20" w:rsidRDefault="008A1F77" w:rsidP="007F30CE">
      <w:pPr>
        <w:pStyle w:val="Heading1"/>
      </w:pPr>
      <w:r w:rsidRPr="00624A20">
        <w:t xml:space="preserve">9. </w:t>
      </w:r>
      <w:r w:rsidR="00F5600E" w:rsidRPr="00624A20">
        <w:tab/>
      </w:r>
      <w:r w:rsidR="003C27F7">
        <w:t>Communications and Engagement Strategy</w:t>
      </w:r>
      <w:r w:rsidRPr="00624A20">
        <w:t xml:space="preserve"> </w:t>
      </w:r>
    </w:p>
    <w:p w14:paraId="2D43CB62" w14:textId="77777777" w:rsidR="007827ED" w:rsidRPr="00717DFE" w:rsidRDefault="007827ED" w:rsidP="00717DFE">
      <w:pPr>
        <w:ind w:left="720" w:hanging="720"/>
        <w:rPr>
          <w:rFonts w:cs="Arial"/>
        </w:rPr>
      </w:pPr>
    </w:p>
    <w:p w14:paraId="7F991FF4" w14:textId="6B700416" w:rsidR="00C72768" w:rsidRPr="00717DFE" w:rsidRDefault="00C72768" w:rsidP="00717DFE">
      <w:pPr>
        <w:ind w:left="720" w:hanging="720"/>
        <w:rPr>
          <w:rFonts w:eastAsia="Times New Roman" w:cs="Arial"/>
          <w:lang w:eastAsia="en-GB"/>
        </w:rPr>
      </w:pPr>
      <w:r w:rsidRPr="00717DFE">
        <w:rPr>
          <w:rFonts w:cs="Arial"/>
        </w:rPr>
        <w:t>9.1</w:t>
      </w:r>
      <w:r w:rsidRPr="00717DFE">
        <w:rPr>
          <w:rFonts w:cs="Arial"/>
        </w:rPr>
        <w:tab/>
        <w:t>Eric</w:t>
      </w:r>
      <w:r w:rsidR="00A67E76" w:rsidRPr="00717DFE">
        <w:rPr>
          <w:rFonts w:cs="Arial"/>
        </w:rPr>
        <w:t xml:space="preserve">a </w:t>
      </w:r>
      <w:r w:rsidR="004D70E0" w:rsidRPr="00717DFE">
        <w:rPr>
          <w:rFonts w:cs="Arial"/>
        </w:rPr>
        <w:t>Boardman and Martin Deller joined the mee</w:t>
      </w:r>
      <w:r w:rsidR="007C694D">
        <w:rPr>
          <w:rFonts w:cs="Arial"/>
        </w:rPr>
        <w:t xml:space="preserve">ting to present paper </w:t>
      </w:r>
      <w:r w:rsidR="007C694D" w:rsidRPr="00F31C4C">
        <w:rPr>
          <w:rFonts w:cs="Arial"/>
          <w:u w:val="single"/>
        </w:rPr>
        <w:t>EHRC 85.07</w:t>
      </w:r>
      <w:r w:rsidR="004D70E0" w:rsidRPr="00717DFE">
        <w:rPr>
          <w:rFonts w:cs="Arial"/>
        </w:rPr>
        <w:t>.</w:t>
      </w:r>
      <w:r w:rsidRPr="00717DFE">
        <w:rPr>
          <w:rFonts w:cs="Arial"/>
        </w:rPr>
        <w:t xml:space="preserve"> </w:t>
      </w:r>
      <w:r w:rsidRPr="00717DFE">
        <w:rPr>
          <w:rFonts w:eastAsiaTheme="minorEastAsia" w:cs="Arial"/>
          <w:kern w:val="24"/>
          <w:lang w:eastAsia="en-GB"/>
        </w:rPr>
        <w:t xml:space="preserve">This </w:t>
      </w:r>
      <w:r w:rsidR="007C694D">
        <w:rPr>
          <w:rFonts w:eastAsiaTheme="minorEastAsia" w:cs="Arial"/>
          <w:kern w:val="24"/>
          <w:lang w:eastAsia="en-GB"/>
        </w:rPr>
        <w:t xml:space="preserve">set out the Commission’s </w:t>
      </w:r>
      <w:r w:rsidRPr="00717DFE">
        <w:rPr>
          <w:rFonts w:eastAsiaTheme="minorEastAsia" w:cs="Arial"/>
          <w:kern w:val="24"/>
          <w:lang w:eastAsia="en-GB"/>
        </w:rPr>
        <w:t xml:space="preserve">overarching communications and engagement strategy, to support the delivery of </w:t>
      </w:r>
      <w:r w:rsidR="007C694D">
        <w:rPr>
          <w:rFonts w:eastAsiaTheme="minorEastAsia" w:cs="Arial"/>
          <w:kern w:val="24"/>
          <w:lang w:eastAsia="en-GB"/>
        </w:rPr>
        <w:t xml:space="preserve">its </w:t>
      </w:r>
      <w:r w:rsidRPr="00717DFE">
        <w:rPr>
          <w:rFonts w:eastAsiaTheme="minorEastAsia" w:cs="Arial"/>
          <w:kern w:val="24"/>
          <w:lang w:eastAsia="en-GB"/>
        </w:rPr>
        <w:t>Strategic Plan over the next three years</w:t>
      </w:r>
      <w:r w:rsidRPr="00717DFE">
        <w:rPr>
          <w:rFonts w:eastAsia="Times New Roman" w:cs="Arial"/>
          <w:lang w:eastAsia="en-GB"/>
        </w:rPr>
        <w:t xml:space="preserve">. </w:t>
      </w:r>
      <w:r w:rsidR="007C694D">
        <w:rPr>
          <w:rFonts w:eastAsiaTheme="minorEastAsia" w:cs="Arial"/>
          <w:kern w:val="24"/>
          <w:lang w:eastAsia="en-GB"/>
        </w:rPr>
        <w:t xml:space="preserve">Supporting communications </w:t>
      </w:r>
      <w:r w:rsidRPr="00717DFE">
        <w:rPr>
          <w:rFonts w:eastAsiaTheme="minorEastAsia" w:cs="Arial"/>
          <w:kern w:val="24"/>
          <w:lang w:eastAsia="en-GB"/>
        </w:rPr>
        <w:t xml:space="preserve">strategies and stakeholder maps </w:t>
      </w:r>
      <w:r w:rsidR="007C694D">
        <w:rPr>
          <w:rFonts w:eastAsiaTheme="minorEastAsia" w:cs="Arial"/>
          <w:kern w:val="24"/>
          <w:lang w:eastAsia="en-GB"/>
        </w:rPr>
        <w:t>were</w:t>
      </w:r>
      <w:r w:rsidRPr="00717DFE">
        <w:rPr>
          <w:rFonts w:eastAsiaTheme="minorEastAsia" w:cs="Arial"/>
          <w:kern w:val="24"/>
          <w:lang w:eastAsia="en-GB"/>
        </w:rPr>
        <w:t xml:space="preserve"> being finalised for each of the Strategic Aims</w:t>
      </w:r>
    </w:p>
    <w:p w14:paraId="79650A20" w14:textId="77777777" w:rsidR="00C72768" w:rsidRPr="00C72768" w:rsidRDefault="00C72768" w:rsidP="00717DFE">
      <w:pPr>
        <w:ind w:left="720" w:hanging="720"/>
        <w:contextualSpacing/>
        <w:rPr>
          <w:rFonts w:eastAsia="Times New Roman" w:cs="Arial"/>
          <w:lang w:eastAsia="en-GB"/>
        </w:rPr>
      </w:pPr>
    </w:p>
    <w:p w14:paraId="394A23C9" w14:textId="09F83E13" w:rsidR="00C72768" w:rsidRPr="00717DFE" w:rsidRDefault="00717DFE" w:rsidP="00717DFE">
      <w:pPr>
        <w:ind w:left="720" w:hanging="720"/>
        <w:rPr>
          <w:rFonts w:cs="Arial"/>
        </w:rPr>
      </w:pPr>
      <w:r>
        <w:rPr>
          <w:rFonts w:cs="Arial"/>
        </w:rPr>
        <w:t>9.2</w:t>
      </w:r>
      <w:r>
        <w:rPr>
          <w:rFonts w:cs="Arial"/>
        </w:rPr>
        <w:tab/>
      </w:r>
      <w:r w:rsidR="00C72768" w:rsidRPr="00717DFE">
        <w:rPr>
          <w:rFonts w:cs="Arial"/>
        </w:rPr>
        <w:t xml:space="preserve">The Board was content with the overall </w:t>
      </w:r>
      <w:r w:rsidR="008C30D0" w:rsidRPr="00717DFE">
        <w:rPr>
          <w:rFonts w:cs="Arial"/>
        </w:rPr>
        <w:t>strategic approach to comm</w:t>
      </w:r>
      <w:r w:rsidR="00C72768" w:rsidRPr="00717DFE">
        <w:rPr>
          <w:rFonts w:cs="Arial"/>
        </w:rPr>
        <w:t xml:space="preserve">unications and </w:t>
      </w:r>
      <w:r w:rsidR="007C694D">
        <w:rPr>
          <w:rFonts w:cs="Arial"/>
        </w:rPr>
        <w:t>engagement set out in the paper</w:t>
      </w:r>
      <w:r w:rsidR="008C30D0" w:rsidRPr="00717DFE">
        <w:rPr>
          <w:rFonts w:cs="Arial"/>
        </w:rPr>
        <w:t xml:space="preserve"> set out in the</w:t>
      </w:r>
      <w:r w:rsidR="007C694D">
        <w:rPr>
          <w:rFonts w:cs="Arial"/>
        </w:rPr>
        <w:t xml:space="preserve"> paper</w:t>
      </w:r>
      <w:r w:rsidR="00C72768" w:rsidRPr="00717DFE">
        <w:rPr>
          <w:rFonts w:cs="Arial"/>
        </w:rPr>
        <w:t xml:space="preserve">. It supported the three roles for the Commission of enforcer, influencer and thought leader. </w:t>
      </w:r>
    </w:p>
    <w:p w14:paraId="2D6FEA90" w14:textId="77777777" w:rsidR="00C72768" w:rsidRPr="00717DFE" w:rsidRDefault="00C72768" w:rsidP="00717DFE">
      <w:pPr>
        <w:ind w:left="720" w:hanging="720"/>
        <w:rPr>
          <w:rFonts w:cs="Arial"/>
        </w:rPr>
      </w:pPr>
    </w:p>
    <w:p w14:paraId="35D9C579" w14:textId="2DCDF7E8" w:rsidR="00A67E76" w:rsidRPr="00717DFE" w:rsidRDefault="00717DFE" w:rsidP="00717DFE">
      <w:pPr>
        <w:ind w:left="720" w:hanging="720"/>
        <w:rPr>
          <w:rFonts w:cs="Arial"/>
        </w:rPr>
      </w:pPr>
      <w:r>
        <w:rPr>
          <w:rFonts w:cs="Arial"/>
        </w:rPr>
        <w:t>9.3</w:t>
      </w:r>
      <w:r>
        <w:rPr>
          <w:rFonts w:cs="Arial"/>
        </w:rPr>
        <w:tab/>
      </w:r>
      <w:r w:rsidR="00C72768" w:rsidRPr="00717DFE">
        <w:rPr>
          <w:rFonts w:cs="Arial"/>
        </w:rPr>
        <w:t>T</w:t>
      </w:r>
      <w:r w:rsidR="002E281F">
        <w:rPr>
          <w:rFonts w:cs="Arial"/>
        </w:rPr>
        <w:t>he Board felt that progress on c</w:t>
      </w:r>
      <w:r w:rsidR="00C72768" w:rsidRPr="00717DFE">
        <w:rPr>
          <w:rFonts w:cs="Arial"/>
        </w:rPr>
        <w:t>ommunications a</w:t>
      </w:r>
      <w:r w:rsidR="007C694D">
        <w:rPr>
          <w:rFonts w:cs="Arial"/>
        </w:rPr>
        <w:t>nd engagement had been good. It</w:t>
      </w:r>
      <w:r w:rsidR="00C72768" w:rsidRPr="00717DFE">
        <w:rPr>
          <w:rFonts w:cs="Arial"/>
        </w:rPr>
        <w:t xml:space="preserve"> felt that further exposition of the qualitative impact of commun</w:t>
      </w:r>
      <w:r w:rsidR="007C694D">
        <w:rPr>
          <w:rFonts w:cs="Arial"/>
        </w:rPr>
        <w:t>ic</w:t>
      </w:r>
      <w:r w:rsidR="00C72768" w:rsidRPr="00717DFE">
        <w:rPr>
          <w:rFonts w:cs="Arial"/>
        </w:rPr>
        <w:t>ations successes, and their relative importance wou</w:t>
      </w:r>
      <w:r w:rsidR="007C694D">
        <w:rPr>
          <w:rFonts w:cs="Arial"/>
        </w:rPr>
        <w:t>ld be helpful for future discus</w:t>
      </w:r>
      <w:r w:rsidR="00C72768" w:rsidRPr="00717DFE">
        <w:rPr>
          <w:rFonts w:cs="Arial"/>
        </w:rPr>
        <w:t xml:space="preserve">sions. </w:t>
      </w:r>
    </w:p>
    <w:p w14:paraId="553EF8CD" w14:textId="77777777" w:rsidR="00C72768" w:rsidRPr="00717DFE" w:rsidRDefault="00C72768" w:rsidP="00717DFE">
      <w:pPr>
        <w:ind w:left="720" w:hanging="720"/>
        <w:rPr>
          <w:rFonts w:cs="Arial"/>
        </w:rPr>
      </w:pPr>
    </w:p>
    <w:p w14:paraId="38624565" w14:textId="33E48E25" w:rsidR="00A67E76" w:rsidRPr="00717DFE" w:rsidRDefault="00717DFE" w:rsidP="00717DFE">
      <w:pPr>
        <w:ind w:left="720" w:hanging="720"/>
        <w:rPr>
          <w:rFonts w:cs="Arial"/>
        </w:rPr>
      </w:pPr>
      <w:r>
        <w:rPr>
          <w:rFonts w:cs="Arial"/>
        </w:rPr>
        <w:t>9.4</w:t>
      </w:r>
      <w:r>
        <w:rPr>
          <w:rFonts w:cs="Arial"/>
        </w:rPr>
        <w:tab/>
      </w:r>
      <w:r w:rsidR="00C72768" w:rsidRPr="00717DFE">
        <w:rPr>
          <w:rFonts w:cs="Arial"/>
        </w:rPr>
        <w:t>The Board noted that the Commission monitored the social media and communications environment in which it operated</w:t>
      </w:r>
      <w:r w:rsidR="007C694D">
        <w:rPr>
          <w:rFonts w:cs="Arial"/>
        </w:rPr>
        <w:t xml:space="preserve">. This supported its aim of </w:t>
      </w:r>
      <w:r w:rsidR="0069718F" w:rsidRPr="00717DFE">
        <w:rPr>
          <w:rFonts w:cs="Arial"/>
        </w:rPr>
        <w:t>establish</w:t>
      </w:r>
      <w:r w:rsidR="0069718F">
        <w:rPr>
          <w:rFonts w:cs="Arial"/>
        </w:rPr>
        <w:t xml:space="preserve">ing </w:t>
      </w:r>
      <w:r w:rsidR="0069718F" w:rsidRPr="00717DFE">
        <w:rPr>
          <w:rFonts w:cs="Arial"/>
        </w:rPr>
        <w:t>a</w:t>
      </w:r>
      <w:r w:rsidR="00C72768" w:rsidRPr="00717DFE">
        <w:rPr>
          <w:rFonts w:cs="Arial"/>
        </w:rPr>
        <w:t xml:space="preserve"> unique</w:t>
      </w:r>
      <w:r w:rsidR="007C694D">
        <w:rPr>
          <w:rFonts w:cs="Arial"/>
        </w:rPr>
        <w:t>,</w:t>
      </w:r>
      <w:r w:rsidR="00C72768" w:rsidRPr="00717DFE">
        <w:rPr>
          <w:rFonts w:cs="Arial"/>
        </w:rPr>
        <w:t xml:space="preserve"> </w:t>
      </w:r>
      <w:r w:rsidRPr="00717DFE">
        <w:rPr>
          <w:rFonts w:cs="Arial"/>
        </w:rPr>
        <w:t xml:space="preserve">calm and authoritative </w:t>
      </w:r>
      <w:r w:rsidR="007C694D">
        <w:rPr>
          <w:rFonts w:cs="Arial"/>
        </w:rPr>
        <w:t>voice</w:t>
      </w:r>
      <w:r w:rsidR="00C72768" w:rsidRPr="00717DFE">
        <w:rPr>
          <w:rFonts w:cs="Arial"/>
        </w:rPr>
        <w:t xml:space="preserve"> </w:t>
      </w:r>
      <w:r w:rsidR="007C694D" w:rsidRPr="00717DFE">
        <w:rPr>
          <w:rFonts w:cs="Arial"/>
        </w:rPr>
        <w:t>in often heated and p</w:t>
      </w:r>
      <w:r w:rsidR="007C694D">
        <w:rPr>
          <w:rFonts w:cs="Arial"/>
        </w:rPr>
        <w:t>ol</w:t>
      </w:r>
      <w:r w:rsidR="007C694D" w:rsidRPr="00717DFE">
        <w:rPr>
          <w:rFonts w:cs="Arial"/>
        </w:rPr>
        <w:t>arised arenas</w:t>
      </w:r>
      <w:r w:rsidR="007C694D">
        <w:rPr>
          <w:rFonts w:cs="Arial"/>
        </w:rPr>
        <w:t xml:space="preserve"> based on the Commission’s </w:t>
      </w:r>
      <w:r w:rsidR="00C72768" w:rsidRPr="00717DFE">
        <w:rPr>
          <w:rFonts w:cs="Arial"/>
        </w:rPr>
        <w:t>legal function, statutory ma</w:t>
      </w:r>
      <w:r w:rsidR="007C694D">
        <w:rPr>
          <w:rFonts w:cs="Arial"/>
        </w:rPr>
        <w:t>n</w:t>
      </w:r>
      <w:r w:rsidR="00C72768" w:rsidRPr="00717DFE">
        <w:rPr>
          <w:rFonts w:cs="Arial"/>
        </w:rPr>
        <w:t xml:space="preserve">date, NHRI status and independence. </w:t>
      </w:r>
    </w:p>
    <w:p w14:paraId="132017B2" w14:textId="77777777" w:rsidR="006A408C" w:rsidRDefault="006A408C" w:rsidP="00A67E76"/>
    <w:p w14:paraId="7510DD48" w14:textId="1600488E" w:rsidR="006C4AB1" w:rsidRDefault="002E7D50" w:rsidP="006A408C">
      <w:r>
        <w:t>9.5</w:t>
      </w:r>
      <w:r w:rsidR="00400CF1">
        <w:tab/>
      </w:r>
      <w:r w:rsidR="006C4AB1">
        <w:t xml:space="preserve">Board members </w:t>
      </w:r>
      <w:r w:rsidR="006A408C">
        <w:t>reflected on</w:t>
      </w:r>
      <w:r w:rsidR="006C4AB1" w:rsidRPr="006C4AB1">
        <w:t xml:space="preserve"> </w:t>
      </w:r>
      <w:r w:rsidR="006C4AB1">
        <w:t>the potential fo</w:t>
      </w:r>
      <w:r w:rsidR="002E281F">
        <w:t>r:</w:t>
      </w:r>
    </w:p>
    <w:p w14:paraId="37DD07BA" w14:textId="77777777" w:rsidR="006C4AB1" w:rsidRDefault="006C4AB1" w:rsidP="006A408C"/>
    <w:p w14:paraId="1A88B531" w14:textId="02016912" w:rsidR="006A408C" w:rsidRDefault="00400CF1" w:rsidP="00400CF1">
      <w:pPr>
        <w:ind w:left="1440" w:hanging="720"/>
      </w:pPr>
      <w:r>
        <w:t>a)</w:t>
      </w:r>
      <w:r>
        <w:tab/>
      </w:r>
      <w:proofErr w:type="gramStart"/>
      <w:r w:rsidR="002E281F">
        <w:t>g</w:t>
      </w:r>
      <w:r w:rsidR="006C4AB1">
        <w:t>reater</w:t>
      </w:r>
      <w:proofErr w:type="gramEnd"/>
      <w:r w:rsidR="006C4AB1">
        <w:t xml:space="preserve"> engagement</w:t>
      </w:r>
      <w:r w:rsidR="006A408C">
        <w:t xml:space="preserve"> with children and young people, and the </w:t>
      </w:r>
      <w:r w:rsidR="006C4AB1">
        <w:t xml:space="preserve">longer term human rights </w:t>
      </w:r>
      <w:r w:rsidR="002E281F">
        <w:t>impacts that this might deliver;</w:t>
      </w:r>
    </w:p>
    <w:p w14:paraId="3937CE9F" w14:textId="77777777" w:rsidR="006A408C" w:rsidRDefault="006A408C" w:rsidP="00400CF1">
      <w:pPr>
        <w:ind w:left="1440" w:hanging="720"/>
      </w:pPr>
    </w:p>
    <w:p w14:paraId="46AF9C37" w14:textId="2E611F02" w:rsidR="006C4AB1" w:rsidRDefault="00400CF1" w:rsidP="00400CF1">
      <w:pPr>
        <w:ind w:left="1440" w:hanging="720"/>
      </w:pPr>
      <w:r>
        <w:t>b)</w:t>
      </w:r>
      <w:r>
        <w:tab/>
      </w:r>
      <w:proofErr w:type="gramStart"/>
      <w:r w:rsidR="007C694D">
        <w:t>further</w:t>
      </w:r>
      <w:proofErr w:type="gramEnd"/>
      <w:r w:rsidR="007C694D">
        <w:t xml:space="preserve"> behaviour c</w:t>
      </w:r>
      <w:r w:rsidR="006C4AB1">
        <w:t>h</w:t>
      </w:r>
      <w:r w:rsidR="007C694D">
        <w:t>an</w:t>
      </w:r>
      <w:r w:rsidR="006C4AB1">
        <w:t>g</w:t>
      </w:r>
      <w:r w:rsidR="007C694D">
        <w:t>e</w:t>
      </w:r>
      <w:r w:rsidR="006C4AB1">
        <w:t xml:space="preserve"> work around </w:t>
      </w:r>
      <w:r w:rsidR="00A67E76">
        <w:t xml:space="preserve">attitudes </w:t>
      </w:r>
      <w:r w:rsidR="002E281F">
        <w:t>to human rights;</w:t>
      </w:r>
    </w:p>
    <w:p w14:paraId="19C71376" w14:textId="77777777" w:rsidR="006C4AB1" w:rsidRDefault="006C4AB1" w:rsidP="00400CF1">
      <w:pPr>
        <w:ind w:left="1440" w:hanging="720"/>
      </w:pPr>
    </w:p>
    <w:p w14:paraId="74375B4F" w14:textId="2F5A1EA7" w:rsidR="006C4AB1" w:rsidRDefault="00400CF1" w:rsidP="00400CF1">
      <w:pPr>
        <w:ind w:left="1440" w:hanging="720"/>
      </w:pPr>
      <w:r>
        <w:t>c)</w:t>
      </w:r>
      <w:r>
        <w:tab/>
      </w:r>
      <w:proofErr w:type="gramStart"/>
      <w:r w:rsidR="002E281F">
        <w:t>m</w:t>
      </w:r>
      <w:r w:rsidR="006C4AB1">
        <w:t>ore</w:t>
      </w:r>
      <w:proofErr w:type="gramEnd"/>
      <w:r w:rsidR="006C4AB1">
        <w:t xml:space="preserve"> communications and engagement activity with private sector (for </w:t>
      </w:r>
      <w:r w:rsidR="002E281F">
        <w:t>example the anniversary of the Equal Pay A</w:t>
      </w:r>
      <w:r w:rsidR="006C4AB1">
        <w:t>c</w:t>
      </w:r>
      <w:r w:rsidR="002E281F">
        <w:t>t) building on Working Forward;</w:t>
      </w:r>
    </w:p>
    <w:p w14:paraId="2F6AFD3D" w14:textId="77777777" w:rsidR="004772F7" w:rsidRDefault="004772F7" w:rsidP="00400CF1">
      <w:pPr>
        <w:ind w:left="1440" w:hanging="720"/>
      </w:pPr>
    </w:p>
    <w:p w14:paraId="0A5C1CD7" w14:textId="29019E19" w:rsidR="004772F7" w:rsidRDefault="00400CF1" w:rsidP="00400CF1">
      <w:pPr>
        <w:ind w:left="1440" w:hanging="720"/>
      </w:pPr>
      <w:r>
        <w:t>d)</w:t>
      </w:r>
      <w:r>
        <w:tab/>
      </w:r>
      <w:proofErr w:type="gramStart"/>
      <w:r w:rsidR="002E281F">
        <w:t>a</w:t>
      </w:r>
      <w:proofErr w:type="gramEnd"/>
      <w:r w:rsidR="002E281F">
        <w:t xml:space="preserve"> </w:t>
      </w:r>
      <w:r w:rsidR="004772F7">
        <w:t>more diverse social media presence. Here, t</w:t>
      </w:r>
      <w:r w:rsidR="002E281F">
        <w:t>he B</w:t>
      </w:r>
      <w:r w:rsidR="007C694D">
        <w:t xml:space="preserve">oard noted that the </w:t>
      </w:r>
      <w:r w:rsidR="004772F7">
        <w:t xml:space="preserve">nature of new media </w:t>
      </w:r>
      <w:r w:rsidR="007C694D">
        <w:t xml:space="preserve">consumption </w:t>
      </w:r>
      <w:r w:rsidR="004772F7">
        <w:t>could mitigate agai</w:t>
      </w:r>
      <w:r w:rsidR="007C694D">
        <w:t>n</w:t>
      </w:r>
      <w:r w:rsidR="004772F7">
        <w:t xml:space="preserve">st its successful </w:t>
      </w:r>
      <w:r w:rsidR="007C694D">
        <w:t xml:space="preserve">deployment </w:t>
      </w:r>
      <w:r w:rsidR="004772F7">
        <w:t xml:space="preserve">by corporate bodies, even those better resourced and with more commercial remits. The continuing importance of traditional media was also stressed. </w:t>
      </w:r>
      <w:r w:rsidR="007C694D">
        <w:t>The Board asked for sigh</w:t>
      </w:r>
      <w:r>
        <w:t xml:space="preserve">t of the </w:t>
      </w:r>
      <w:r>
        <w:lastRenderedPageBreak/>
        <w:t>benchmarking res</w:t>
      </w:r>
      <w:r w:rsidR="007C694D">
        <w:t>earch</w:t>
      </w:r>
      <w:r>
        <w:t xml:space="preserve"> that the Commission had undertaken on its use of social media.</w:t>
      </w:r>
      <w:r w:rsidR="001C6F0A">
        <w:t xml:space="preserve"> </w:t>
      </w:r>
      <w:r w:rsidR="001C6F0A" w:rsidRPr="001C6F0A">
        <w:rPr>
          <w:b/>
        </w:rPr>
        <w:t>Action: Erica Boardman</w:t>
      </w:r>
    </w:p>
    <w:p w14:paraId="0ACB2C31" w14:textId="3C0FD308" w:rsidR="004772F7" w:rsidRDefault="004772F7" w:rsidP="00400CF1">
      <w:pPr>
        <w:ind w:left="1440" w:hanging="720"/>
      </w:pPr>
    </w:p>
    <w:p w14:paraId="46CCD440" w14:textId="5FDDD0AC" w:rsidR="00400CF1" w:rsidRDefault="007C694D" w:rsidP="00400CF1">
      <w:pPr>
        <w:ind w:left="1440" w:hanging="720"/>
      </w:pPr>
      <w:r>
        <w:t>e)</w:t>
      </w:r>
      <w:r>
        <w:tab/>
      </w:r>
      <w:proofErr w:type="gramStart"/>
      <w:r>
        <w:t>t</w:t>
      </w:r>
      <w:r w:rsidR="00400CF1">
        <w:t>he</w:t>
      </w:r>
      <w:proofErr w:type="gramEnd"/>
      <w:r w:rsidR="00400CF1">
        <w:t xml:space="preserve"> need to deliver engaging and thought-provoking communications based on the Commission</w:t>
      </w:r>
      <w:r w:rsidR="002E281F">
        <w:t>’</w:t>
      </w:r>
      <w:r w:rsidR="00400CF1">
        <w:t>s aims and activities in a way that broadened the Commissions reach across the nations and across a diverse range of stakeholder groups without compromising the Commission</w:t>
      </w:r>
      <w:r w:rsidR="002E281F">
        <w:t>’</w:t>
      </w:r>
      <w:r w:rsidR="00400CF1">
        <w:t>s unique voice as a steady, impartial, careful, dispassionate expert body at a time of polarised and destructive debate.</w:t>
      </w:r>
    </w:p>
    <w:p w14:paraId="461FA369" w14:textId="77777777" w:rsidR="00400CF1" w:rsidRDefault="00400CF1" w:rsidP="00400CF1">
      <w:pPr>
        <w:ind w:left="720" w:hanging="720"/>
      </w:pPr>
    </w:p>
    <w:p w14:paraId="7529A3B0" w14:textId="49991811" w:rsidR="003244EA" w:rsidRDefault="00400CF1" w:rsidP="007C694D">
      <w:pPr>
        <w:ind w:left="720"/>
      </w:pPr>
      <w:r>
        <w:t>Th</w:t>
      </w:r>
      <w:r w:rsidR="006C4AB1">
        <w:t>e Board asked for further information about t</w:t>
      </w:r>
      <w:r w:rsidR="007C694D">
        <w:t>he Commission’s stakeholder segme</w:t>
      </w:r>
      <w:r w:rsidR="006C4AB1">
        <w:t>ntatio</w:t>
      </w:r>
      <w:r w:rsidR="007C694D">
        <w:t>n</w:t>
      </w:r>
      <w:r w:rsidR="006C4AB1">
        <w:t xml:space="preserve"> and thinking in these area</w:t>
      </w:r>
      <w:r w:rsidR="002E281F">
        <w:t>s</w:t>
      </w:r>
      <w:r w:rsidR="004772F7">
        <w:t xml:space="preserve"> </w:t>
      </w:r>
      <w:r w:rsidR="001C6F0A">
        <w:t>(</w:t>
      </w:r>
      <w:r w:rsidR="001C6F0A" w:rsidRPr="00621995">
        <w:rPr>
          <w:b/>
        </w:rPr>
        <w:t>Action: Sarah Maclean/Tessa  Griffiths)</w:t>
      </w:r>
      <w:r w:rsidR="001C6F0A">
        <w:t xml:space="preserve"> </w:t>
      </w:r>
      <w:r w:rsidR="002E281F">
        <w:t xml:space="preserve">and felt </w:t>
      </w:r>
      <w:r w:rsidR="004772F7" w:rsidRPr="0069718F">
        <w:t>that it would be timely to revisit the Commission’s theory of change models in respect of Communications</w:t>
      </w:r>
      <w:r w:rsidR="007C694D" w:rsidRPr="0069718F">
        <w:t xml:space="preserve"> </w:t>
      </w:r>
      <w:r w:rsidRPr="0069718F">
        <w:t>in the</w:t>
      </w:r>
      <w:r w:rsidR="002E281F">
        <w:t xml:space="preserve"> light of issues raised at the a</w:t>
      </w:r>
      <w:r w:rsidRPr="0069718F">
        <w:t>way</w:t>
      </w:r>
      <w:r w:rsidR="002E281F">
        <w:t xml:space="preserve"> </w:t>
      </w:r>
      <w:r w:rsidRPr="0069718F">
        <w:t>day</w:t>
      </w:r>
      <w:r w:rsidR="007C694D" w:rsidRPr="0069718F">
        <w:t>.</w:t>
      </w:r>
    </w:p>
    <w:p w14:paraId="3CF14EF8" w14:textId="77777777" w:rsidR="00400CF1" w:rsidRDefault="00400CF1" w:rsidP="00A67E76">
      <w:pPr>
        <w:rPr>
          <w:b/>
        </w:rPr>
      </w:pPr>
    </w:p>
    <w:p w14:paraId="55F9F1CE" w14:textId="1D11E93C" w:rsidR="003244EA" w:rsidRPr="00AA3D45" w:rsidRDefault="002E7D50" w:rsidP="00AA3D45">
      <w:pPr>
        <w:ind w:left="720" w:hanging="720"/>
      </w:pPr>
      <w:r>
        <w:t>9.6</w:t>
      </w:r>
      <w:r w:rsidR="00AA3D45" w:rsidRPr="00AA3D45">
        <w:tab/>
      </w:r>
      <w:r w:rsidR="003244EA" w:rsidRPr="00AA3D45">
        <w:t xml:space="preserve">The Board </w:t>
      </w:r>
      <w:r w:rsidR="003A2610">
        <w:t>thanked officers for t</w:t>
      </w:r>
      <w:r w:rsidR="002E281F">
        <w:t>heir work on the strategy and a</w:t>
      </w:r>
      <w:r w:rsidR="003A2610">
        <w:t>s</w:t>
      </w:r>
      <w:r w:rsidR="002E281F">
        <w:t>k</w:t>
      </w:r>
      <w:r w:rsidR="00FA7C56">
        <w:t>ed that c</w:t>
      </w:r>
      <w:r w:rsidR="003244EA" w:rsidRPr="00AA3D45">
        <w:t>ommu</w:t>
      </w:r>
      <w:r w:rsidR="007C694D">
        <w:t>n</w:t>
      </w:r>
      <w:r w:rsidR="003244EA" w:rsidRPr="00AA3D45">
        <w:t xml:space="preserve">ications </w:t>
      </w:r>
      <w:r w:rsidR="00FA7C56">
        <w:t xml:space="preserve">and engagement </w:t>
      </w:r>
      <w:r w:rsidR="003244EA" w:rsidRPr="00AA3D45">
        <w:t xml:space="preserve">be </w:t>
      </w:r>
      <w:r w:rsidR="002E281F">
        <w:t>discussed further at its</w:t>
      </w:r>
      <w:r w:rsidR="003244EA" w:rsidRPr="00AA3D45">
        <w:t xml:space="preserve"> November meeting, including:</w:t>
      </w:r>
    </w:p>
    <w:p w14:paraId="501EDD06" w14:textId="77777777" w:rsidR="003244EA" w:rsidRPr="00AA3D45" w:rsidRDefault="003244EA" w:rsidP="00AA3D45">
      <w:pPr>
        <w:ind w:left="720" w:hanging="720"/>
      </w:pPr>
    </w:p>
    <w:p w14:paraId="66CD29B1" w14:textId="5F543D59" w:rsidR="00AA3D45" w:rsidRPr="00AA3D45" w:rsidRDefault="00AA3D45" w:rsidP="00AA3D45">
      <w:pPr>
        <w:ind w:left="1440" w:hanging="720"/>
      </w:pPr>
      <w:r>
        <w:t>a)</w:t>
      </w:r>
      <w:r>
        <w:tab/>
      </w:r>
      <w:proofErr w:type="gramStart"/>
      <w:r w:rsidR="007C694D">
        <w:t>t</w:t>
      </w:r>
      <w:r w:rsidRPr="00AA3D45">
        <w:t>he</w:t>
      </w:r>
      <w:proofErr w:type="gramEnd"/>
      <w:r w:rsidRPr="00AA3D45">
        <w:t xml:space="preserve"> agi</w:t>
      </w:r>
      <w:r w:rsidR="007C694D">
        <w:t>lity of the Commission</w:t>
      </w:r>
      <w:r w:rsidR="002E281F">
        <w:t>’</w:t>
      </w:r>
      <w:r w:rsidR="007C694D">
        <w:t>s communica</w:t>
      </w:r>
      <w:r w:rsidRPr="00AA3D45">
        <w:t>tions and en</w:t>
      </w:r>
      <w:r w:rsidR="007C694D">
        <w:t>gagement fu</w:t>
      </w:r>
      <w:r w:rsidRPr="00AA3D45">
        <w:t>n</w:t>
      </w:r>
      <w:r w:rsidR="007C694D">
        <w:t>c</w:t>
      </w:r>
      <w:r w:rsidRPr="00AA3D45">
        <w:t>tion</w:t>
      </w:r>
      <w:r w:rsidR="007C694D">
        <w:t>;</w:t>
      </w:r>
    </w:p>
    <w:p w14:paraId="0591F22E" w14:textId="44D8933B" w:rsidR="00A67E76" w:rsidRPr="00AA3D45" w:rsidRDefault="00AA3D45" w:rsidP="00AA3D45">
      <w:pPr>
        <w:ind w:left="1440" w:hanging="720"/>
      </w:pPr>
      <w:r>
        <w:t>b)</w:t>
      </w:r>
      <w:r>
        <w:tab/>
      </w:r>
      <w:proofErr w:type="gramStart"/>
      <w:r w:rsidR="007C694D">
        <w:t>t</w:t>
      </w:r>
      <w:r w:rsidR="003244EA" w:rsidRPr="00AA3D45">
        <w:t>he</w:t>
      </w:r>
      <w:proofErr w:type="gramEnd"/>
      <w:r w:rsidR="003244EA" w:rsidRPr="00AA3D45">
        <w:t xml:space="preserve"> role of Commissioners in terms of communications and stakeholder engagement</w:t>
      </w:r>
      <w:r w:rsidR="007C694D">
        <w:t>;</w:t>
      </w:r>
    </w:p>
    <w:p w14:paraId="08ACA9F9" w14:textId="0A2E3668" w:rsidR="00A67E76" w:rsidRDefault="00AA3D45" w:rsidP="00AA3D45">
      <w:pPr>
        <w:ind w:left="1440" w:hanging="720"/>
      </w:pPr>
      <w:r>
        <w:t>c)</w:t>
      </w:r>
      <w:r>
        <w:tab/>
      </w:r>
      <w:proofErr w:type="gramStart"/>
      <w:r w:rsidR="007C694D">
        <w:t>f</w:t>
      </w:r>
      <w:r w:rsidR="006A408C" w:rsidRPr="006A408C">
        <w:t>urther</w:t>
      </w:r>
      <w:proofErr w:type="gramEnd"/>
      <w:r w:rsidR="006A408C" w:rsidRPr="006A408C">
        <w:t xml:space="preserve"> analysis of </w:t>
      </w:r>
      <w:r w:rsidR="00A67E76" w:rsidRPr="006A408C">
        <w:t>budget and costs</w:t>
      </w:r>
      <w:r w:rsidR="006A408C" w:rsidRPr="006A408C">
        <w:t>, including breakdown i</w:t>
      </w:r>
      <w:r w:rsidR="003C4FE5">
        <w:t>n</w:t>
      </w:r>
      <w:r w:rsidR="006A408C" w:rsidRPr="006A408C">
        <w:t>to infrastructure and product</w:t>
      </w:r>
      <w:r w:rsidR="003C4FE5">
        <w:t>;</w:t>
      </w:r>
      <w:r w:rsidR="00A67E76" w:rsidRPr="006A408C">
        <w:t xml:space="preserve"> </w:t>
      </w:r>
    </w:p>
    <w:p w14:paraId="16A10040" w14:textId="2E4F5B70" w:rsidR="00AA3D45" w:rsidRPr="006A408C" w:rsidRDefault="00AA3D45" w:rsidP="00AA3D45">
      <w:pPr>
        <w:ind w:left="1440" w:hanging="720"/>
      </w:pPr>
      <w:r>
        <w:t>d)</w:t>
      </w:r>
      <w:r>
        <w:tab/>
        <w:t>The Commission</w:t>
      </w:r>
      <w:r w:rsidR="002E281F">
        <w:t>’</w:t>
      </w:r>
      <w:r>
        <w:t>s role as a go-t</w:t>
      </w:r>
      <w:r w:rsidR="003C4FE5">
        <w:t>o</w:t>
      </w:r>
      <w:r>
        <w:t xml:space="preserve"> commentator and thought l</w:t>
      </w:r>
      <w:r w:rsidR="003C4FE5">
        <w:t xml:space="preserve">eader and the importance of </w:t>
      </w:r>
      <w:r w:rsidR="0069718F">
        <w:t>engaging</w:t>
      </w:r>
      <w:r>
        <w:t xml:space="preserve"> with emerging debates beyond the </w:t>
      </w:r>
      <w:r w:rsidR="003C4FE5">
        <w:t>strategic plan, utilising the C</w:t>
      </w:r>
      <w:r>
        <w:t>ommission’s intellectual</w:t>
      </w:r>
      <w:r w:rsidR="003C4FE5">
        <w:t xml:space="preserve"> </w:t>
      </w:r>
      <w:r>
        <w:t xml:space="preserve">capital </w:t>
      </w:r>
    </w:p>
    <w:p w14:paraId="0B97FF62" w14:textId="7EFDDB08" w:rsidR="006A408C" w:rsidRDefault="00AA3D45" w:rsidP="00AA3D45">
      <w:pPr>
        <w:ind w:left="1440" w:hanging="720"/>
      </w:pPr>
      <w:r>
        <w:t>e)</w:t>
      </w:r>
      <w:r>
        <w:tab/>
      </w:r>
      <w:r w:rsidR="006A408C" w:rsidRPr="006A408C">
        <w:t xml:space="preserve">The </w:t>
      </w:r>
      <w:r w:rsidR="003C4FE5">
        <w:t xml:space="preserve">Commission’s </w:t>
      </w:r>
      <w:r w:rsidR="006A408C" w:rsidRPr="006A408C">
        <w:t>independence narrative, in the context of upcoming NHRI accreditation</w:t>
      </w:r>
      <w:r w:rsidR="00B17E12">
        <w:t>.</w:t>
      </w:r>
    </w:p>
    <w:p w14:paraId="5FB23DD1" w14:textId="77777777" w:rsidR="00F31C4C" w:rsidRDefault="00F31C4C" w:rsidP="00AA3D45">
      <w:pPr>
        <w:ind w:left="1440" w:hanging="720"/>
      </w:pPr>
    </w:p>
    <w:p w14:paraId="53FA58BC" w14:textId="37601E86" w:rsidR="00F31C4C" w:rsidRPr="006A408C" w:rsidRDefault="00F31C4C" w:rsidP="00AA3D45">
      <w:pPr>
        <w:ind w:left="1440" w:hanging="720"/>
      </w:pPr>
      <w:r>
        <w:t>Subject to these queries, the Board a</w:t>
      </w:r>
      <w:r w:rsidR="002E281F">
        <w:t>pproved</w:t>
      </w:r>
      <w:r>
        <w:t xml:space="preserve"> the strategy.</w:t>
      </w:r>
    </w:p>
    <w:p w14:paraId="1974063D" w14:textId="33959F1A" w:rsidR="006A408C" w:rsidRDefault="006A408C" w:rsidP="00A67E76"/>
    <w:p w14:paraId="0E0587AF" w14:textId="5031F5ED" w:rsidR="003A2610" w:rsidRPr="006A408C" w:rsidRDefault="003A2610" w:rsidP="00F31C4C">
      <w:pPr>
        <w:ind w:left="720"/>
      </w:pPr>
      <w:r w:rsidRPr="00F31C4C">
        <w:rPr>
          <w:b/>
        </w:rPr>
        <w:t>Acti</w:t>
      </w:r>
      <w:r w:rsidR="00FA7C56">
        <w:rPr>
          <w:b/>
        </w:rPr>
        <w:t>on: Ben Wilson a</w:t>
      </w:r>
      <w:r w:rsidR="00C208C1">
        <w:rPr>
          <w:b/>
        </w:rPr>
        <w:t>n</w:t>
      </w:r>
      <w:r w:rsidR="002E281F">
        <w:rPr>
          <w:b/>
        </w:rPr>
        <w:t>d Erica Boardma</w:t>
      </w:r>
      <w:r w:rsidRPr="00F31C4C">
        <w:rPr>
          <w:b/>
        </w:rPr>
        <w:t>n</w:t>
      </w:r>
      <w:r>
        <w:t xml:space="preserve"> to progress</w:t>
      </w:r>
    </w:p>
    <w:p w14:paraId="677FD70B" w14:textId="77777777" w:rsidR="003C27F7" w:rsidRPr="00624A20" w:rsidRDefault="003C27F7" w:rsidP="003C27F7">
      <w:pPr>
        <w:ind w:left="720" w:hanging="720"/>
      </w:pPr>
    </w:p>
    <w:p w14:paraId="0D1DA76E" w14:textId="77777777" w:rsidR="00F71D86" w:rsidRPr="00624A20" w:rsidRDefault="00FD1EB8" w:rsidP="007F30CE">
      <w:pPr>
        <w:pStyle w:val="Heading1"/>
      </w:pPr>
      <w:r w:rsidRPr="00624A20">
        <w:t>1</w:t>
      </w:r>
      <w:r w:rsidR="007F30CE" w:rsidRPr="00624A20">
        <w:t>4</w:t>
      </w:r>
      <w:r w:rsidR="00F71D86" w:rsidRPr="00624A20">
        <w:t xml:space="preserve">. </w:t>
      </w:r>
      <w:r w:rsidR="00F71D86" w:rsidRPr="00624A20">
        <w:tab/>
        <w:t>Any Other Business</w:t>
      </w:r>
      <w:r w:rsidR="00032E11" w:rsidRPr="00624A20">
        <w:t xml:space="preserve"> </w:t>
      </w:r>
    </w:p>
    <w:p w14:paraId="45ACD9B0" w14:textId="77777777" w:rsidR="00F71D86" w:rsidRPr="00624A20" w:rsidRDefault="00F71D86" w:rsidP="007F30CE">
      <w:pPr>
        <w:ind w:left="720" w:hanging="720"/>
        <w:rPr>
          <w:rFonts w:cs="Arial"/>
          <w:bCs/>
        </w:rPr>
      </w:pPr>
    </w:p>
    <w:p w14:paraId="13280DA8" w14:textId="0A60AB88" w:rsidR="00F71D86" w:rsidRPr="00624A20" w:rsidRDefault="006E7DEF" w:rsidP="007F30CE">
      <w:pPr>
        <w:ind w:left="720" w:hanging="720"/>
        <w:rPr>
          <w:rFonts w:cs="Arial"/>
          <w:bCs/>
        </w:rPr>
      </w:pPr>
      <w:r>
        <w:rPr>
          <w:rFonts w:cs="Arial"/>
          <w:bCs/>
        </w:rPr>
        <w:t>14</w:t>
      </w:r>
      <w:r w:rsidR="00C47DF8" w:rsidRPr="00624A20">
        <w:rPr>
          <w:rFonts w:cs="Arial"/>
          <w:bCs/>
        </w:rPr>
        <w:t>.1</w:t>
      </w:r>
      <w:r w:rsidR="00032E11" w:rsidRPr="00624A20">
        <w:rPr>
          <w:rFonts w:cs="Arial"/>
          <w:bCs/>
        </w:rPr>
        <w:tab/>
      </w:r>
      <w:r w:rsidR="003C27F7">
        <w:rPr>
          <w:rFonts w:cs="Arial"/>
          <w:bCs/>
        </w:rPr>
        <w:t>David Isaac thank</w:t>
      </w:r>
      <w:r w:rsidR="00576000">
        <w:rPr>
          <w:rFonts w:cs="Arial"/>
          <w:bCs/>
        </w:rPr>
        <w:t>ed</w:t>
      </w:r>
      <w:r w:rsidR="003C27F7">
        <w:rPr>
          <w:rFonts w:cs="Arial"/>
          <w:bCs/>
        </w:rPr>
        <w:t xml:space="preserve"> Board members and staff for their contributions over the two days</w:t>
      </w:r>
      <w:r w:rsidR="00DC18FE" w:rsidRPr="00624A20">
        <w:rPr>
          <w:rFonts w:cs="Arial"/>
          <w:bCs/>
        </w:rPr>
        <w:t>. The Board would next meet</w:t>
      </w:r>
      <w:r w:rsidR="00C47DF8" w:rsidRPr="00624A20">
        <w:rPr>
          <w:rFonts w:cs="Arial"/>
          <w:bCs/>
        </w:rPr>
        <w:t xml:space="preserve"> </w:t>
      </w:r>
      <w:r w:rsidR="00576000">
        <w:rPr>
          <w:rFonts w:cs="Arial"/>
          <w:bCs/>
        </w:rPr>
        <w:t xml:space="preserve">formally </w:t>
      </w:r>
      <w:r w:rsidR="003C27F7">
        <w:rPr>
          <w:rFonts w:cs="Arial"/>
          <w:bCs/>
        </w:rPr>
        <w:t xml:space="preserve">on </w:t>
      </w:r>
      <w:r w:rsidR="003C4FE5" w:rsidRPr="0069718F">
        <w:rPr>
          <w:rFonts w:cs="Arial"/>
          <w:bCs/>
        </w:rPr>
        <w:t>14</w:t>
      </w:r>
      <w:r w:rsidR="003C27F7" w:rsidRPr="0069718F">
        <w:rPr>
          <w:rFonts w:cs="Arial"/>
          <w:bCs/>
        </w:rPr>
        <w:t xml:space="preserve"> November</w:t>
      </w:r>
      <w:r w:rsidR="0069718F" w:rsidRPr="0069718F">
        <w:rPr>
          <w:rFonts w:cs="Arial"/>
          <w:bCs/>
        </w:rPr>
        <w:t>.</w:t>
      </w:r>
      <w:r w:rsidR="007F30CE" w:rsidRPr="00624A20">
        <w:rPr>
          <w:rFonts w:cs="Arial"/>
          <w:bCs/>
        </w:rPr>
        <w:t xml:space="preserve"> </w:t>
      </w:r>
    </w:p>
    <w:p w14:paraId="19E1D923" w14:textId="28A0E4C5" w:rsidR="00D77883" w:rsidRDefault="00D77883" w:rsidP="00D77883">
      <w:pPr>
        <w:rPr>
          <w:b/>
        </w:rPr>
      </w:pPr>
    </w:p>
    <w:p w14:paraId="14D6EFA2" w14:textId="77777777" w:rsidR="000F5AFF" w:rsidRDefault="000F5AFF" w:rsidP="00D77883">
      <w:pPr>
        <w:rPr>
          <w:b/>
        </w:rPr>
      </w:pPr>
    </w:p>
    <w:p w14:paraId="47570EA0" w14:textId="77777777" w:rsidR="000F5AFF" w:rsidRDefault="000F5AFF" w:rsidP="00D77883"/>
    <w:p w14:paraId="69BD05A5" w14:textId="77777777" w:rsidR="000F5AFF" w:rsidRDefault="000F5AFF" w:rsidP="00D77883"/>
    <w:p w14:paraId="5B5FB18C" w14:textId="77777777" w:rsidR="000F5AFF" w:rsidRDefault="000F5AFF" w:rsidP="00D77883"/>
    <w:p w14:paraId="68903AE7" w14:textId="0992AF67" w:rsidR="000F5AFF" w:rsidRDefault="000F5AFF" w:rsidP="00D77883">
      <w:bookmarkStart w:id="0" w:name="_GoBack"/>
      <w:bookmarkEnd w:id="0"/>
      <w:r w:rsidRPr="000F5AFF">
        <w:t xml:space="preserve">Agreed by the </w:t>
      </w:r>
      <w:r>
        <w:t xml:space="preserve">EHRC </w:t>
      </w:r>
      <w:r w:rsidRPr="000F5AFF">
        <w:t xml:space="preserve">Board at its meeting of 14 November </w:t>
      </w:r>
    </w:p>
    <w:p w14:paraId="3F752399" w14:textId="03297593" w:rsidR="000F5AFF" w:rsidRPr="000F5AFF" w:rsidRDefault="000F5AFF" w:rsidP="00D77883">
      <w:r w:rsidRPr="000F5AFF">
        <w:t>(</w:t>
      </w:r>
      <w:proofErr w:type="gramStart"/>
      <w:r w:rsidRPr="000F5AFF">
        <w:t>see</w:t>
      </w:r>
      <w:proofErr w:type="gramEnd"/>
      <w:r w:rsidRPr="000F5AFF">
        <w:t xml:space="preserve"> also note at item 7.2)</w:t>
      </w:r>
    </w:p>
    <w:sectPr w:rsidR="000F5AFF" w:rsidRPr="000F5AFF" w:rsidSect="00375512">
      <w:footerReference w:type="default" r:id="rId9"/>
      <w:pgSz w:w="11906" w:h="16838"/>
      <w:pgMar w:top="1440" w:right="1440" w:bottom="1440" w:left="1440" w:header="510" w:footer="11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CF242" w14:textId="77777777" w:rsidR="00400CF1" w:rsidRDefault="00400CF1" w:rsidP="00E72C89">
      <w:r>
        <w:separator/>
      </w:r>
    </w:p>
  </w:endnote>
  <w:endnote w:type="continuationSeparator" w:id="0">
    <w:p w14:paraId="394D6C33" w14:textId="77777777" w:rsidR="00400CF1" w:rsidRDefault="00400CF1" w:rsidP="00E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755411"/>
      <w:docPartObj>
        <w:docPartGallery w:val="Page Numbers (Bottom of Page)"/>
        <w:docPartUnique/>
      </w:docPartObj>
    </w:sdtPr>
    <w:sdtEndPr>
      <w:rPr>
        <w:noProof/>
      </w:rPr>
    </w:sdtEndPr>
    <w:sdtContent>
      <w:p w14:paraId="764A00D2" w14:textId="0FC68A65" w:rsidR="000F5AFF" w:rsidRDefault="000F5A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6C7A067" w14:textId="77777777" w:rsidR="00400CF1" w:rsidRDefault="00400CF1" w:rsidP="00E72C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8F964" w14:textId="77777777" w:rsidR="00400CF1" w:rsidRDefault="00400CF1" w:rsidP="00E72C89">
      <w:r>
        <w:separator/>
      </w:r>
    </w:p>
  </w:footnote>
  <w:footnote w:type="continuationSeparator" w:id="0">
    <w:p w14:paraId="34C9E6C4" w14:textId="77777777" w:rsidR="00400CF1" w:rsidRDefault="00400CF1" w:rsidP="00E72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1EF"/>
    <w:multiLevelType w:val="hybridMultilevel"/>
    <w:tmpl w:val="1C4C1906"/>
    <w:lvl w:ilvl="0" w:tplc="6A047D78">
      <w:start w:val="1"/>
      <w:numFmt w:val="bullet"/>
      <w:lvlText w:val="•"/>
      <w:lvlJc w:val="left"/>
      <w:pPr>
        <w:tabs>
          <w:tab w:val="num" w:pos="720"/>
        </w:tabs>
        <w:ind w:left="720" w:hanging="360"/>
      </w:pPr>
      <w:rPr>
        <w:rFonts w:ascii="Arial" w:hAnsi="Arial" w:hint="default"/>
      </w:rPr>
    </w:lvl>
    <w:lvl w:ilvl="1" w:tplc="001C8F88" w:tentative="1">
      <w:start w:val="1"/>
      <w:numFmt w:val="bullet"/>
      <w:lvlText w:val="•"/>
      <w:lvlJc w:val="left"/>
      <w:pPr>
        <w:tabs>
          <w:tab w:val="num" w:pos="1440"/>
        </w:tabs>
        <w:ind w:left="1440" w:hanging="360"/>
      </w:pPr>
      <w:rPr>
        <w:rFonts w:ascii="Arial" w:hAnsi="Arial" w:hint="default"/>
      </w:rPr>
    </w:lvl>
    <w:lvl w:ilvl="2" w:tplc="E74A9024" w:tentative="1">
      <w:start w:val="1"/>
      <w:numFmt w:val="bullet"/>
      <w:lvlText w:val="•"/>
      <w:lvlJc w:val="left"/>
      <w:pPr>
        <w:tabs>
          <w:tab w:val="num" w:pos="2160"/>
        </w:tabs>
        <w:ind w:left="2160" w:hanging="360"/>
      </w:pPr>
      <w:rPr>
        <w:rFonts w:ascii="Arial" w:hAnsi="Arial" w:hint="default"/>
      </w:rPr>
    </w:lvl>
    <w:lvl w:ilvl="3" w:tplc="4274A6DA" w:tentative="1">
      <w:start w:val="1"/>
      <w:numFmt w:val="bullet"/>
      <w:lvlText w:val="•"/>
      <w:lvlJc w:val="left"/>
      <w:pPr>
        <w:tabs>
          <w:tab w:val="num" w:pos="2880"/>
        </w:tabs>
        <w:ind w:left="2880" w:hanging="360"/>
      </w:pPr>
      <w:rPr>
        <w:rFonts w:ascii="Arial" w:hAnsi="Arial" w:hint="default"/>
      </w:rPr>
    </w:lvl>
    <w:lvl w:ilvl="4" w:tplc="937203C8" w:tentative="1">
      <w:start w:val="1"/>
      <w:numFmt w:val="bullet"/>
      <w:lvlText w:val="•"/>
      <w:lvlJc w:val="left"/>
      <w:pPr>
        <w:tabs>
          <w:tab w:val="num" w:pos="3600"/>
        </w:tabs>
        <w:ind w:left="3600" w:hanging="360"/>
      </w:pPr>
      <w:rPr>
        <w:rFonts w:ascii="Arial" w:hAnsi="Arial" w:hint="default"/>
      </w:rPr>
    </w:lvl>
    <w:lvl w:ilvl="5" w:tplc="58FE8B3A" w:tentative="1">
      <w:start w:val="1"/>
      <w:numFmt w:val="bullet"/>
      <w:lvlText w:val="•"/>
      <w:lvlJc w:val="left"/>
      <w:pPr>
        <w:tabs>
          <w:tab w:val="num" w:pos="4320"/>
        </w:tabs>
        <w:ind w:left="4320" w:hanging="360"/>
      </w:pPr>
      <w:rPr>
        <w:rFonts w:ascii="Arial" w:hAnsi="Arial" w:hint="default"/>
      </w:rPr>
    </w:lvl>
    <w:lvl w:ilvl="6" w:tplc="C4CC627A" w:tentative="1">
      <w:start w:val="1"/>
      <w:numFmt w:val="bullet"/>
      <w:lvlText w:val="•"/>
      <w:lvlJc w:val="left"/>
      <w:pPr>
        <w:tabs>
          <w:tab w:val="num" w:pos="5040"/>
        </w:tabs>
        <w:ind w:left="5040" w:hanging="360"/>
      </w:pPr>
      <w:rPr>
        <w:rFonts w:ascii="Arial" w:hAnsi="Arial" w:hint="default"/>
      </w:rPr>
    </w:lvl>
    <w:lvl w:ilvl="7" w:tplc="731A0C4C" w:tentative="1">
      <w:start w:val="1"/>
      <w:numFmt w:val="bullet"/>
      <w:lvlText w:val="•"/>
      <w:lvlJc w:val="left"/>
      <w:pPr>
        <w:tabs>
          <w:tab w:val="num" w:pos="5760"/>
        </w:tabs>
        <w:ind w:left="5760" w:hanging="360"/>
      </w:pPr>
      <w:rPr>
        <w:rFonts w:ascii="Arial" w:hAnsi="Arial" w:hint="default"/>
      </w:rPr>
    </w:lvl>
    <w:lvl w:ilvl="8" w:tplc="3C5E2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EA714E"/>
    <w:multiLevelType w:val="hybridMultilevel"/>
    <w:tmpl w:val="33CC79FE"/>
    <w:lvl w:ilvl="0" w:tplc="70AC14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30EBB"/>
    <w:multiLevelType w:val="hybridMultilevel"/>
    <w:tmpl w:val="ECDC33A0"/>
    <w:lvl w:ilvl="0" w:tplc="7D0CB952">
      <w:start w:val="7"/>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248B9"/>
    <w:multiLevelType w:val="hybridMultilevel"/>
    <w:tmpl w:val="43AA1B80"/>
    <w:lvl w:ilvl="0" w:tplc="788C277E">
      <w:start w:val="1"/>
      <w:numFmt w:val="bullet"/>
      <w:pStyle w:val="WUBullets"/>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4" w15:restartNumberingAfterBreak="0">
    <w:nsid w:val="53E00F54"/>
    <w:multiLevelType w:val="hybridMultilevel"/>
    <w:tmpl w:val="56904F30"/>
    <w:lvl w:ilvl="0" w:tplc="39FA9106">
      <w:start w:val="1"/>
      <w:numFmt w:val="bullet"/>
      <w:lvlText w:val="•"/>
      <w:lvlJc w:val="left"/>
      <w:pPr>
        <w:tabs>
          <w:tab w:val="num" w:pos="720"/>
        </w:tabs>
        <w:ind w:left="720" w:hanging="360"/>
      </w:pPr>
      <w:rPr>
        <w:rFonts w:ascii="Arial" w:hAnsi="Arial" w:hint="default"/>
      </w:rPr>
    </w:lvl>
    <w:lvl w:ilvl="1" w:tplc="2AF2ED1C" w:tentative="1">
      <w:start w:val="1"/>
      <w:numFmt w:val="bullet"/>
      <w:lvlText w:val="•"/>
      <w:lvlJc w:val="left"/>
      <w:pPr>
        <w:tabs>
          <w:tab w:val="num" w:pos="1440"/>
        </w:tabs>
        <w:ind w:left="1440" w:hanging="360"/>
      </w:pPr>
      <w:rPr>
        <w:rFonts w:ascii="Arial" w:hAnsi="Arial" w:hint="default"/>
      </w:rPr>
    </w:lvl>
    <w:lvl w:ilvl="2" w:tplc="04EAE13A" w:tentative="1">
      <w:start w:val="1"/>
      <w:numFmt w:val="bullet"/>
      <w:lvlText w:val="•"/>
      <w:lvlJc w:val="left"/>
      <w:pPr>
        <w:tabs>
          <w:tab w:val="num" w:pos="2160"/>
        </w:tabs>
        <w:ind w:left="2160" w:hanging="360"/>
      </w:pPr>
      <w:rPr>
        <w:rFonts w:ascii="Arial" w:hAnsi="Arial" w:hint="default"/>
      </w:rPr>
    </w:lvl>
    <w:lvl w:ilvl="3" w:tplc="0C7EA494" w:tentative="1">
      <w:start w:val="1"/>
      <w:numFmt w:val="bullet"/>
      <w:lvlText w:val="•"/>
      <w:lvlJc w:val="left"/>
      <w:pPr>
        <w:tabs>
          <w:tab w:val="num" w:pos="2880"/>
        </w:tabs>
        <w:ind w:left="2880" w:hanging="360"/>
      </w:pPr>
      <w:rPr>
        <w:rFonts w:ascii="Arial" w:hAnsi="Arial" w:hint="default"/>
      </w:rPr>
    </w:lvl>
    <w:lvl w:ilvl="4" w:tplc="6C3CB432" w:tentative="1">
      <w:start w:val="1"/>
      <w:numFmt w:val="bullet"/>
      <w:lvlText w:val="•"/>
      <w:lvlJc w:val="left"/>
      <w:pPr>
        <w:tabs>
          <w:tab w:val="num" w:pos="3600"/>
        </w:tabs>
        <w:ind w:left="3600" w:hanging="360"/>
      </w:pPr>
      <w:rPr>
        <w:rFonts w:ascii="Arial" w:hAnsi="Arial" w:hint="default"/>
      </w:rPr>
    </w:lvl>
    <w:lvl w:ilvl="5" w:tplc="51E42756" w:tentative="1">
      <w:start w:val="1"/>
      <w:numFmt w:val="bullet"/>
      <w:lvlText w:val="•"/>
      <w:lvlJc w:val="left"/>
      <w:pPr>
        <w:tabs>
          <w:tab w:val="num" w:pos="4320"/>
        </w:tabs>
        <w:ind w:left="4320" w:hanging="360"/>
      </w:pPr>
      <w:rPr>
        <w:rFonts w:ascii="Arial" w:hAnsi="Arial" w:hint="default"/>
      </w:rPr>
    </w:lvl>
    <w:lvl w:ilvl="6" w:tplc="8092F48A" w:tentative="1">
      <w:start w:val="1"/>
      <w:numFmt w:val="bullet"/>
      <w:lvlText w:val="•"/>
      <w:lvlJc w:val="left"/>
      <w:pPr>
        <w:tabs>
          <w:tab w:val="num" w:pos="5040"/>
        </w:tabs>
        <w:ind w:left="5040" w:hanging="360"/>
      </w:pPr>
      <w:rPr>
        <w:rFonts w:ascii="Arial" w:hAnsi="Arial" w:hint="default"/>
      </w:rPr>
    </w:lvl>
    <w:lvl w:ilvl="7" w:tplc="09CC2DC2" w:tentative="1">
      <w:start w:val="1"/>
      <w:numFmt w:val="bullet"/>
      <w:lvlText w:val="•"/>
      <w:lvlJc w:val="left"/>
      <w:pPr>
        <w:tabs>
          <w:tab w:val="num" w:pos="5760"/>
        </w:tabs>
        <w:ind w:left="5760" w:hanging="360"/>
      </w:pPr>
      <w:rPr>
        <w:rFonts w:ascii="Arial" w:hAnsi="Arial" w:hint="default"/>
      </w:rPr>
    </w:lvl>
    <w:lvl w:ilvl="8" w:tplc="CF98A9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EE1618"/>
    <w:multiLevelType w:val="hybridMultilevel"/>
    <w:tmpl w:val="5E86D8F2"/>
    <w:lvl w:ilvl="0" w:tplc="8B6C3CD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0BD0B39"/>
    <w:multiLevelType w:val="hybridMultilevel"/>
    <w:tmpl w:val="989AC07E"/>
    <w:lvl w:ilvl="0" w:tplc="857423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7B80D3B"/>
    <w:multiLevelType w:val="multilevel"/>
    <w:tmpl w:val="A8486460"/>
    <w:lvl w:ilvl="0">
      <w:start w:val="9"/>
      <w:numFmt w:val="decimal"/>
      <w:lvlText w:val="%1"/>
      <w:lvlJc w:val="left"/>
      <w:pPr>
        <w:ind w:left="360" w:hanging="360"/>
      </w:pPr>
      <w:rPr>
        <w:rFonts w:ascii="Arial" w:eastAsia="Calibri" w:hAnsi="Arial" w:hint="default"/>
        <w:color w:val="auto"/>
        <w:sz w:val="24"/>
      </w:rPr>
    </w:lvl>
    <w:lvl w:ilvl="1">
      <w:start w:val="1"/>
      <w:numFmt w:val="decimal"/>
      <w:lvlText w:val="%1.%2"/>
      <w:lvlJc w:val="left"/>
      <w:pPr>
        <w:ind w:left="720" w:hanging="720"/>
      </w:pPr>
      <w:rPr>
        <w:rFonts w:ascii="Arial" w:eastAsia="Calibri" w:hAnsi="Arial" w:hint="default"/>
        <w:color w:val="auto"/>
        <w:sz w:val="24"/>
      </w:rPr>
    </w:lvl>
    <w:lvl w:ilvl="2">
      <w:start w:val="1"/>
      <w:numFmt w:val="decimal"/>
      <w:lvlText w:val="%1.%2.%3"/>
      <w:lvlJc w:val="left"/>
      <w:pPr>
        <w:ind w:left="720" w:hanging="720"/>
      </w:pPr>
      <w:rPr>
        <w:rFonts w:ascii="Arial" w:eastAsia="Calibri" w:hAnsi="Arial" w:hint="default"/>
        <w:color w:val="auto"/>
        <w:sz w:val="24"/>
      </w:rPr>
    </w:lvl>
    <w:lvl w:ilvl="3">
      <w:start w:val="1"/>
      <w:numFmt w:val="decimal"/>
      <w:lvlText w:val="%1.%2.%3.%4"/>
      <w:lvlJc w:val="left"/>
      <w:pPr>
        <w:ind w:left="1080" w:hanging="1080"/>
      </w:pPr>
      <w:rPr>
        <w:rFonts w:ascii="Arial" w:eastAsia="Calibri" w:hAnsi="Arial" w:hint="default"/>
        <w:color w:val="auto"/>
        <w:sz w:val="24"/>
      </w:rPr>
    </w:lvl>
    <w:lvl w:ilvl="4">
      <w:start w:val="1"/>
      <w:numFmt w:val="decimal"/>
      <w:lvlText w:val="%1.%2.%3.%4.%5"/>
      <w:lvlJc w:val="left"/>
      <w:pPr>
        <w:ind w:left="1440" w:hanging="1440"/>
      </w:pPr>
      <w:rPr>
        <w:rFonts w:ascii="Arial" w:eastAsia="Calibri" w:hAnsi="Arial" w:hint="default"/>
        <w:color w:val="auto"/>
        <w:sz w:val="24"/>
      </w:rPr>
    </w:lvl>
    <w:lvl w:ilvl="5">
      <w:start w:val="1"/>
      <w:numFmt w:val="decimal"/>
      <w:lvlText w:val="%1.%2.%3.%4.%5.%6"/>
      <w:lvlJc w:val="left"/>
      <w:pPr>
        <w:ind w:left="1800" w:hanging="1800"/>
      </w:pPr>
      <w:rPr>
        <w:rFonts w:ascii="Arial" w:eastAsia="Calibri" w:hAnsi="Arial" w:hint="default"/>
        <w:color w:val="auto"/>
        <w:sz w:val="24"/>
      </w:rPr>
    </w:lvl>
    <w:lvl w:ilvl="6">
      <w:start w:val="1"/>
      <w:numFmt w:val="decimal"/>
      <w:lvlText w:val="%1.%2.%3.%4.%5.%6.%7"/>
      <w:lvlJc w:val="left"/>
      <w:pPr>
        <w:ind w:left="1800" w:hanging="1800"/>
      </w:pPr>
      <w:rPr>
        <w:rFonts w:ascii="Arial" w:eastAsia="Calibri" w:hAnsi="Arial" w:hint="default"/>
        <w:color w:val="auto"/>
        <w:sz w:val="24"/>
      </w:rPr>
    </w:lvl>
    <w:lvl w:ilvl="7">
      <w:start w:val="1"/>
      <w:numFmt w:val="decimal"/>
      <w:lvlText w:val="%1.%2.%3.%4.%5.%6.%7.%8"/>
      <w:lvlJc w:val="left"/>
      <w:pPr>
        <w:ind w:left="2160" w:hanging="2160"/>
      </w:pPr>
      <w:rPr>
        <w:rFonts w:ascii="Arial" w:eastAsia="Calibri" w:hAnsi="Arial" w:hint="default"/>
        <w:color w:val="auto"/>
        <w:sz w:val="24"/>
      </w:rPr>
    </w:lvl>
    <w:lvl w:ilvl="8">
      <w:start w:val="1"/>
      <w:numFmt w:val="decimal"/>
      <w:lvlText w:val="%1.%2.%3.%4.%5.%6.%7.%8.%9"/>
      <w:lvlJc w:val="left"/>
      <w:pPr>
        <w:ind w:left="2520" w:hanging="2520"/>
      </w:pPr>
      <w:rPr>
        <w:rFonts w:ascii="Arial" w:eastAsia="Calibri" w:hAnsi="Arial" w:hint="default"/>
        <w:color w:val="auto"/>
        <w:sz w:val="24"/>
      </w:rPr>
    </w:lvl>
  </w:abstractNum>
  <w:abstractNum w:abstractNumId="8"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3B0D4D"/>
    <w:multiLevelType w:val="multilevel"/>
    <w:tmpl w:val="105258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0B186E"/>
    <w:multiLevelType w:val="hybridMultilevel"/>
    <w:tmpl w:val="B808AB50"/>
    <w:lvl w:ilvl="0" w:tplc="CC7A0072">
      <w:start w:val="1"/>
      <w:numFmt w:val="bullet"/>
      <w:pStyle w:val="Bullets-standard"/>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9"/>
  </w:num>
  <w:num w:numId="5">
    <w:abstractNumId w:val="6"/>
  </w:num>
  <w:num w:numId="6">
    <w:abstractNumId w:val="1"/>
  </w:num>
  <w:num w:numId="7">
    <w:abstractNumId w:val="4"/>
  </w:num>
  <w:num w:numId="8">
    <w:abstractNumId w:val="0"/>
  </w:num>
  <w:num w:numId="9">
    <w:abstractNumId w:val="7"/>
  </w:num>
  <w:num w:numId="10">
    <w:abstractNumId w:val="5"/>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F43BE3"/>
    <w:rsid w:val="00000AB8"/>
    <w:rsid w:val="00000F66"/>
    <w:rsid w:val="0000192D"/>
    <w:rsid w:val="0000210A"/>
    <w:rsid w:val="000035DD"/>
    <w:rsid w:val="00003658"/>
    <w:rsid w:val="00004618"/>
    <w:rsid w:val="000047A5"/>
    <w:rsid w:val="00004A50"/>
    <w:rsid w:val="00004AEE"/>
    <w:rsid w:val="00004E4D"/>
    <w:rsid w:val="00005065"/>
    <w:rsid w:val="00005271"/>
    <w:rsid w:val="00005AC3"/>
    <w:rsid w:val="00005CE0"/>
    <w:rsid w:val="00005FDB"/>
    <w:rsid w:val="00006256"/>
    <w:rsid w:val="00006BB3"/>
    <w:rsid w:val="00007A9A"/>
    <w:rsid w:val="00010D5C"/>
    <w:rsid w:val="000111B5"/>
    <w:rsid w:val="0001148C"/>
    <w:rsid w:val="00011695"/>
    <w:rsid w:val="000116B4"/>
    <w:rsid w:val="00011B82"/>
    <w:rsid w:val="000132D1"/>
    <w:rsid w:val="000132D2"/>
    <w:rsid w:val="000137DF"/>
    <w:rsid w:val="00013DCC"/>
    <w:rsid w:val="00013F3C"/>
    <w:rsid w:val="00014493"/>
    <w:rsid w:val="00014496"/>
    <w:rsid w:val="0001481C"/>
    <w:rsid w:val="0001514C"/>
    <w:rsid w:val="00016AC4"/>
    <w:rsid w:val="000172D9"/>
    <w:rsid w:val="000175E5"/>
    <w:rsid w:val="00020131"/>
    <w:rsid w:val="0002082A"/>
    <w:rsid w:val="0002178B"/>
    <w:rsid w:val="00021A4E"/>
    <w:rsid w:val="00021D5B"/>
    <w:rsid w:val="00022FF0"/>
    <w:rsid w:val="000232C5"/>
    <w:rsid w:val="00024E37"/>
    <w:rsid w:val="00026FBC"/>
    <w:rsid w:val="0002731A"/>
    <w:rsid w:val="000275A7"/>
    <w:rsid w:val="00027A15"/>
    <w:rsid w:val="000300CA"/>
    <w:rsid w:val="00031A00"/>
    <w:rsid w:val="00031B9C"/>
    <w:rsid w:val="00032E11"/>
    <w:rsid w:val="000334F3"/>
    <w:rsid w:val="0003481C"/>
    <w:rsid w:val="00034C03"/>
    <w:rsid w:val="00035C27"/>
    <w:rsid w:val="00036110"/>
    <w:rsid w:val="000367D2"/>
    <w:rsid w:val="000373A1"/>
    <w:rsid w:val="0003775D"/>
    <w:rsid w:val="00037F51"/>
    <w:rsid w:val="0004126C"/>
    <w:rsid w:val="00041F0A"/>
    <w:rsid w:val="00042527"/>
    <w:rsid w:val="00042800"/>
    <w:rsid w:val="00043A1A"/>
    <w:rsid w:val="00044217"/>
    <w:rsid w:val="0004424F"/>
    <w:rsid w:val="0004451A"/>
    <w:rsid w:val="000446D8"/>
    <w:rsid w:val="000447F6"/>
    <w:rsid w:val="00045448"/>
    <w:rsid w:val="000455FC"/>
    <w:rsid w:val="000468C4"/>
    <w:rsid w:val="00047358"/>
    <w:rsid w:val="00047825"/>
    <w:rsid w:val="00047B4A"/>
    <w:rsid w:val="000507E7"/>
    <w:rsid w:val="00050D76"/>
    <w:rsid w:val="00050ECB"/>
    <w:rsid w:val="00052325"/>
    <w:rsid w:val="000528EE"/>
    <w:rsid w:val="0005326C"/>
    <w:rsid w:val="00053F0F"/>
    <w:rsid w:val="00055466"/>
    <w:rsid w:val="00055C7E"/>
    <w:rsid w:val="00057803"/>
    <w:rsid w:val="00057993"/>
    <w:rsid w:val="00062D64"/>
    <w:rsid w:val="00063DC5"/>
    <w:rsid w:val="00065797"/>
    <w:rsid w:val="00065953"/>
    <w:rsid w:val="00070C1F"/>
    <w:rsid w:val="00070DB2"/>
    <w:rsid w:val="00071CFA"/>
    <w:rsid w:val="000726A4"/>
    <w:rsid w:val="00072741"/>
    <w:rsid w:val="00072C11"/>
    <w:rsid w:val="00072DE2"/>
    <w:rsid w:val="00072FC1"/>
    <w:rsid w:val="000731CD"/>
    <w:rsid w:val="00073576"/>
    <w:rsid w:val="0007427D"/>
    <w:rsid w:val="000747DA"/>
    <w:rsid w:val="00074C38"/>
    <w:rsid w:val="00075520"/>
    <w:rsid w:val="00076389"/>
    <w:rsid w:val="000763E2"/>
    <w:rsid w:val="000764C6"/>
    <w:rsid w:val="0007664A"/>
    <w:rsid w:val="000766D4"/>
    <w:rsid w:val="00076ACC"/>
    <w:rsid w:val="00076E78"/>
    <w:rsid w:val="00076F35"/>
    <w:rsid w:val="0007783F"/>
    <w:rsid w:val="000778CB"/>
    <w:rsid w:val="000779AD"/>
    <w:rsid w:val="00077F6E"/>
    <w:rsid w:val="0008012F"/>
    <w:rsid w:val="00080CD9"/>
    <w:rsid w:val="00080E93"/>
    <w:rsid w:val="00080F33"/>
    <w:rsid w:val="00081201"/>
    <w:rsid w:val="0008322A"/>
    <w:rsid w:val="000834AE"/>
    <w:rsid w:val="00083613"/>
    <w:rsid w:val="000846CD"/>
    <w:rsid w:val="00085661"/>
    <w:rsid w:val="00085C42"/>
    <w:rsid w:val="000867DC"/>
    <w:rsid w:val="0008736F"/>
    <w:rsid w:val="000879F1"/>
    <w:rsid w:val="0009073D"/>
    <w:rsid w:val="0009116F"/>
    <w:rsid w:val="00091A44"/>
    <w:rsid w:val="000932C7"/>
    <w:rsid w:val="00093681"/>
    <w:rsid w:val="000938C3"/>
    <w:rsid w:val="000940FF"/>
    <w:rsid w:val="000944B0"/>
    <w:rsid w:val="000945CA"/>
    <w:rsid w:val="00094788"/>
    <w:rsid w:val="00095EF4"/>
    <w:rsid w:val="00096D0E"/>
    <w:rsid w:val="000A0FA8"/>
    <w:rsid w:val="000A134C"/>
    <w:rsid w:val="000A1D69"/>
    <w:rsid w:val="000A22A6"/>
    <w:rsid w:val="000A2F99"/>
    <w:rsid w:val="000A300F"/>
    <w:rsid w:val="000A3C88"/>
    <w:rsid w:val="000A572D"/>
    <w:rsid w:val="000A5A37"/>
    <w:rsid w:val="000A5EF4"/>
    <w:rsid w:val="000A653C"/>
    <w:rsid w:val="000A696F"/>
    <w:rsid w:val="000A69B9"/>
    <w:rsid w:val="000B0164"/>
    <w:rsid w:val="000B05A9"/>
    <w:rsid w:val="000B17FA"/>
    <w:rsid w:val="000B1946"/>
    <w:rsid w:val="000B309A"/>
    <w:rsid w:val="000B362B"/>
    <w:rsid w:val="000B558F"/>
    <w:rsid w:val="000B7297"/>
    <w:rsid w:val="000C03A0"/>
    <w:rsid w:val="000C04FA"/>
    <w:rsid w:val="000C1329"/>
    <w:rsid w:val="000C151C"/>
    <w:rsid w:val="000C1D06"/>
    <w:rsid w:val="000C2901"/>
    <w:rsid w:val="000C2A47"/>
    <w:rsid w:val="000C4240"/>
    <w:rsid w:val="000C4C4C"/>
    <w:rsid w:val="000C4F00"/>
    <w:rsid w:val="000C55CA"/>
    <w:rsid w:val="000C55D1"/>
    <w:rsid w:val="000C6A5C"/>
    <w:rsid w:val="000C770B"/>
    <w:rsid w:val="000C7992"/>
    <w:rsid w:val="000D0D50"/>
    <w:rsid w:val="000D13AD"/>
    <w:rsid w:val="000D1B20"/>
    <w:rsid w:val="000D1D77"/>
    <w:rsid w:val="000D25F8"/>
    <w:rsid w:val="000D3947"/>
    <w:rsid w:val="000D3C39"/>
    <w:rsid w:val="000D4F0B"/>
    <w:rsid w:val="000D6A30"/>
    <w:rsid w:val="000D75CB"/>
    <w:rsid w:val="000D7997"/>
    <w:rsid w:val="000D7FF8"/>
    <w:rsid w:val="000E0C50"/>
    <w:rsid w:val="000E1518"/>
    <w:rsid w:val="000E2453"/>
    <w:rsid w:val="000E2EFD"/>
    <w:rsid w:val="000E353A"/>
    <w:rsid w:val="000E39E3"/>
    <w:rsid w:val="000E4454"/>
    <w:rsid w:val="000E62F1"/>
    <w:rsid w:val="000E6591"/>
    <w:rsid w:val="000E7C2F"/>
    <w:rsid w:val="000F025D"/>
    <w:rsid w:val="000F0F4B"/>
    <w:rsid w:val="000F0F50"/>
    <w:rsid w:val="000F1CDB"/>
    <w:rsid w:val="000F3583"/>
    <w:rsid w:val="000F3FEA"/>
    <w:rsid w:val="000F5AFF"/>
    <w:rsid w:val="000F6485"/>
    <w:rsid w:val="001009F7"/>
    <w:rsid w:val="00100F6A"/>
    <w:rsid w:val="001016A0"/>
    <w:rsid w:val="00101F64"/>
    <w:rsid w:val="00102E5B"/>
    <w:rsid w:val="00103C30"/>
    <w:rsid w:val="001041EC"/>
    <w:rsid w:val="0010425B"/>
    <w:rsid w:val="0010439A"/>
    <w:rsid w:val="00104E57"/>
    <w:rsid w:val="00107240"/>
    <w:rsid w:val="00107372"/>
    <w:rsid w:val="00107BF2"/>
    <w:rsid w:val="001103B4"/>
    <w:rsid w:val="00110D1C"/>
    <w:rsid w:val="00110E32"/>
    <w:rsid w:val="001117C5"/>
    <w:rsid w:val="00112182"/>
    <w:rsid w:val="0011244D"/>
    <w:rsid w:val="001134A2"/>
    <w:rsid w:val="001136E7"/>
    <w:rsid w:val="001137EC"/>
    <w:rsid w:val="00113939"/>
    <w:rsid w:val="001141C1"/>
    <w:rsid w:val="00114310"/>
    <w:rsid w:val="001143FF"/>
    <w:rsid w:val="001147F4"/>
    <w:rsid w:val="001154A6"/>
    <w:rsid w:val="001156E3"/>
    <w:rsid w:val="00115CCE"/>
    <w:rsid w:val="00115F4C"/>
    <w:rsid w:val="00116836"/>
    <w:rsid w:val="00116E30"/>
    <w:rsid w:val="0011709A"/>
    <w:rsid w:val="00117AF6"/>
    <w:rsid w:val="0012079B"/>
    <w:rsid w:val="001214B1"/>
    <w:rsid w:val="00121ED8"/>
    <w:rsid w:val="00122A70"/>
    <w:rsid w:val="00123920"/>
    <w:rsid w:val="001239CD"/>
    <w:rsid w:val="00124C19"/>
    <w:rsid w:val="001270B5"/>
    <w:rsid w:val="001272EB"/>
    <w:rsid w:val="001304A1"/>
    <w:rsid w:val="00130C52"/>
    <w:rsid w:val="00132A13"/>
    <w:rsid w:val="001334D1"/>
    <w:rsid w:val="00134A47"/>
    <w:rsid w:val="00135424"/>
    <w:rsid w:val="001354BE"/>
    <w:rsid w:val="001369DC"/>
    <w:rsid w:val="00136E67"/>
    <w:rsid w:val="00136FFF"/>
    <w:rsid w:val="00137644"/>
    <w:rsid w:val="001377C5"/>
    <w:rsid w:val="00137B22"/>
    <w:rsid w:val="00137C83"/>
    <w:rsid w:val="001400E7"/>
    <w:rsid w:val="00140278"/>
    <w:rsid w:val="00140537"/>
    <w:rsid w:val="001406C9"/>
    <w:rsid w:val="001409FB"/>
    <w:rsid w:val="00142CBB"/>
    <w:rsid w:val="001430BD"/>
    <w:rsid w:val="001432AB"/>
    <w:rsid w:val="0014339F"/>
    <w:rsid w:val="00143C45"/>
    <w:rsid w:val="0014479A"/>
    <w:rsid w:val="0014499F"/>
    <w:rsid w:val="001467C7"/>
    <w:rsid w:val="0014699C"/>
    <w:rsid w:val="00147496"/>
    <w:rsid w:val="0015015A"/>
    <w:rsid w:val="00152D9F"/>
    <w:rsid w:val="001530D7"/>
    <w:rsid w:val="00153273"/>
    <w:rsid w:val="00153809"/>
    <w:rsid w:val="00153CF7"/>
    <w:rsid w:val="001549AB"/>
    <w:rsid w:val="00154F57"/>
    <w:rsid w:val="00155A84"/>
    <w:rsid w:val="00155B6A"/>
    <w:rsid w:val="00155CB5"/>
    <w:rsid w:val="00156038"/>
    <w:rsid w:val="00156D64"/>
    <w:rsid w:val="001577B6"/>
    <w:rsid w:val="00157D0A"/>
    <w:rsid w:val="00160DFB"/>
    <w:rsid w:val="00160E65"/>
    <w:rsid w:val="0016136F"/>
    <w:rsid w:val="0016200D"/>
    <w:rsid w:val="00163409"/>
    <w:rsid w:val="00163E71"/>
    <w:rsid w:val="00163F76"/>
    <w:rsid w:val="00164548"/>
    <w:rsid w:val="00164A7E"/>
    <w:rsid w:val="0016682E"/>
    <w:rsid w:val="00167542"/>
    <w:rsid w:val="00170551"/>
    <w:rsid w:val="00171B8E"/>
    <w:rsid w:val="0017358B"/>
    <w:rsid w:val="00173F10"/>
    <w:rsid w:val="00174BE9"/>
    <w:rsid w:val="00175C59"/>
    <w:rsid w:val="00176027"/>
    <w:rsid w:val="00176415"/>
    <w:rsid w:val="001768DB"/>
    <w:rsid w:val="00176A19"/>
    <w:rsid w:val="00176A3A"/>
    <w:rsid w:val="00176E9B"/>
    <w:rsid w:val="0017709E"/>
    <w:rsid w:val="001776F6"/>
    <w:rsid w:val="00180389"/>
    <w:rsid w:val="0018091D"/>
    <w:rsid w:val="00181319"/>
    <w:rsid w:val="0018147A"/>
    <w:rsid w:val="00181715"/>
    <w:rsid w:val="001819FA"/>
    <w:rsid w:val="00181E14"/>
    <w:rsid w:val="00182973"/>
    <w:rsid w:val="00182A1B"/>
    <w:rsid w:val="00182B7C"/>
    <w:rsid w:val="00182E2F"/>
    <w:rsid w:val="00184490"/>
    <w:rsid w:val="00184568"/>
    <w:rsid w:val="00184A3A"/>
    <w:rsid w:val="001850DA"/>
    <w:rsid w:val="00185C70"/>
    <w:rsid w:val="001866CF"/>
    <w:rsid w:val="00187569"/>
    <w:rsid w:val="001913A9"/>
    <w:rsid w:val="0019153F"/>
    <w:rsid w:val="00192501"/>
    <w:rsid w:val="001928E3"/>
    <w:rsid w:val="0019338C"/>
    <w:rsid w:val="00194161"/>
    <w:rsid w:val="001949B5"/>
    <w:rsid w:val="0019549F"/>
    <w:rsid w:val="0019572E"/>
    <w:rsid w:val="001958E3"/>
    <w:rsid w:val="00195C8F"/>
    <w:rsid w:val="00196733"/>
    <w:rsid w:val="00196B2B"/>
    <w:rsid w:val="00196DB1"/>
    <w:rsid w:val="001979D0"/>
    <w:rsid w:val="001A01D5"/>
    <w:rsid w:val="001A03A7"/>
    <w:rsid w:val="001A0503"/>
    <w:rsid w:val="001A0583"/>
    <w:rsid w:val="001A0A70"/>
    <w:rsid w:val="001A0C45"/>
    <w:rsid w:val="001A0D0B"/>
    <w:rsid w:val="001A19C1"/>
    <w:rsid w:val="001A2CF0"/>
    <w:rsid w:val="001A2EE1"/>
    <w:rsid w:val="001A3C29"/>
    <w:rsid w:val="001A3E09"/>
    <w:rsid w:val="001A542E"/>
    <w:rsid w:val="001A66F7"/>
    <w:rsid w:val="001A7BBE"/>
    <w:rsid w:val="001A7CE7"/>
    <w:rsid w:val="001B0020"/>
    <w:rsid w:val="001B0326"/>
    <w:rsid w:val="001B0D53"/>
    <w:rsid w:val="001B0F0E"/>
    <w:rsid w:val="001B1D91"/>
    <w:rsid w:val="001B22C6"/>
    <w:rsid w:val="001B3BB1"/>
    <w:rsid w:val="001B6109"/>
    <w:rsid w:val="001B677B"/>
    <w:rsid w:val="001B67B1"/>
    <w:rsid w:val="001B6E3C"/>
    <w:rsid w:val="001B7CEA"/>
    <w:rsid w:val="001C01EB"/>
    <w:rsid w:val="001C0E14"/>
    <w:rsid w:val="001C2230"/>
    <w:rsid w:val="001C27C9"/>
    <w:rsid w:val="001C3316"/>
    <w:rsid w:val="001C379B"/>
    <w:rsid w:val="001C3A6A"/>
    <w:rsid w:val="001C3C42"/>
    <w:rsid w:val="001C3F96"/>
    <w:rsid w:val="001C41E6"/>
    <w:rsid w:val="001C42EA"/>
    <w:rsid w:val="001C48F4"/>
    <w:rsid w:val="001C49BF"/>
    <w:rsid w:val="001C6DC2"/>
    <w:rsid w:val="001C6F0A"/>
    <w:rsid w:val="001C6F27"/>
    <w:rsid w:val="001C6F90"/>
    <w:rsid w:val="001C7204"/>
    <w:rsid w:val="001C7731"/>
    <w:rsid w:val="001D142E"/>
    <w:rsid w:val="001D22A5"/>
    <w:rsid w:val="001D2ACF"/>
    <w:rsid w:val="001D35C2"/>
    <w:rsid w:val="001D3A9A"/>
    <w:rsid w:val="001D415D"/>
    <w:rsid w:val="001D4688"/>
    <w:rsid w:val="001D5FF9"/>
    <w:rsid w:val="001E0B57"/>
    <w:rsid w:val="001E138B"/>
    <w:rsid w:val="001E258D"/>
    <w:rsid w:val="001E27BD"/>
    <w:rsid w:val="001E2E3B"/>
    <w:rsid w:val="001E3381"/>
    <w:rsid w:val="001E3467"/>
    <w:rsid w:val="001E38F5"/>
    <w:rsid w:val="001E3D40"/>
    <w:rsid w:val="001E41D7"/>
    <w:rsid w:val="001E44EC"/>
    <w:rsid w:val="001E4640"/>
    <w:rsid w:val="001E46C6"/>
    <w:rsid w:val="001E47AE"/>
    <w:rsid w:val="001E48D3"/>
    <w:rsid w:val="001E60E1"/>
    <w:rsid w:val="001E61C9"/>
    <w:rsid w:val="001E64B3"/>
    <w:rsid w:val="001E682C"/>
    <w:rsid w:val="001E6927"/>
    <w:rsid w:val="001E6B83"/>
    <w:rsid w:val="001E7D9D"/>
    <w:rsid w:val="001F01D9"/>
    <w:rsid w:val="001F0E32"/>
    <w:rsid w:val="001F100B"/>
    <w:rsid w:val="001F1A92"/>
    <w:rsid w:val="001F2603"/>
    <w:rsid w:val="001F3958"/>
    <w:rsid w:val="001F41C6"/>
    <w:rsid w:val="001F4509"/>
    <w:rsid w:val="001F4FF2"/>
    <w:rsid w:val="001F56A2"/>
    <w:rsid w:val="001F579D"/>
    <w:rsid w:val="001F6438"/>
    <w:rsid w:val="001F7628"/>
    <w:rsid w:val="00200A90"/>
    <w:rsid w:val="002019BA"/>
    <w:rsid w:val="00201CF4"/>
    <w:rsid w:val="002022D2"/>
    <w:rsid w:val="00203033"/>
    <w:rsid w:val="00203425"/>
    <w:rsid w:val="00203949"/>
    <w:rsid w:val="00203B81"/>
    <w:rsid w:val="00203F07"/>
    <w:rsid w:val="00205608"/>
    <w:rsid w:val="00205E39"/>
    <w:rsid w:val="002060B9"/>
    <w:rsid w:val="0020614C"/>
    <w:rsid w:val="00206237"/>
    <w:rsid w:val="00206C6A"/>
    <w:rsid w:val="002071A1"/>
    <w:rsid w:val="00207C68"/>
    <w:rsid w:val="00211705"/>
    <w:rsid w:val="00211CAE"/>
    <w:rsid w:val="002127CF"/>
    <w:rsid w:val="002139D5"/>
    <w:rsid w:val="00213F56"/>
    <w:rsid w:val="00214156"/>
    <w:rsid w:val="00215450"/>
    <w:rsid w:val="00215B10"/>
    <w:rsid w:val="002167BA"/>
    <w:rsid w:val="00217360"/>
    <w:rsid w:val="002174D9"/>
    <w:rsid w:val="00220239"/>
    <w:rsid w:val="00220862"/>
    <w:rsid w:val="00220A6E"/>
    <w:rsid w:val="002211F2"/>
    <w:rsid w:val="00221596"/>
    <w:rsid w:val="00221917"/>
    <w:rsid w:val="00221CA5"/>
    <w:rsid w:val="00222162"/>
    <w:rsid w:val="00223AD0"/>
    <w:rsid w:val="00223AE1"/>
    <w:rsid w:val="00225040"/>
    <w:rsid w:val="002257A1"/>
    <w:rsid w:val="00225DED"/>
    <w:rsid w:val="0022688D"/>
    <w:rsid w:val="002313FA"/>
    <w:rsid w:val="00231C9A"/>
    <w:rsid w:val="00231D1D"/>
    <w:rsid w:val="00232409"/>
    <w:rsid w:val="00233ABF"/>
    <w:rsid w:val="00233FD5"/>
    <w:rsid w:val="002345A1"/>
    <w:rsid w:val="002345AF"/>
    <w:rsid w:val="00234937"/>
    <w:rsid w:val="00234F7A"/>
    <w:rsid w:val="002364E0"/>
    <w:rsid w:val="002364E4"/>
    <w:rsid w:val="0023685F"/>
    <w:rsid w:val="00236993"/>
    <w:rsid w:val="00236B13"/>
    <w:rsid w:val="00240362"/>
    <w:rsid w:val="00242A80"/>
    <w:rsid w:val="002437BA"/>
    <w:rsid w:val="0024413E"/>
    <w:rsid w:val="002441B7"/>
    <w:rsid w:val="00244826"/>
    <w:rsid w:val="00244E20"/>
    <w:rsid w:val="00245B0D"/>
    <w:rsid w:val="00246964"/>
    <w:rsid w:val="00246FA0"/>
    <w:rsid w:val="00247960"/>
    <w:rsid w:val="00247F27"/>
    <w:rsid w:val="0025035A"/>
    <w:rsid w:val="00250989"/>
    <w:rsid w:val="0025341B"/>
    <w:rsid w:val="00253CF0"/>
    <w:rsid w:val="00253D8F"/>
    <w:rsid w:val="00254513"/>
    <w:rsid w:val="002549CC"/>
    <w:rsid w:val="002558B2"/>
    <w:rsid w:val="00255C29"/>
    <w:rsid w:val="0025665C"/>
    <w:rsid w:val="00256BD2"/>
    <w:rsid w:val="00256F6B"/>
    <w:rsid w:val="002607FE"/>
    <w:rsid w:val="002616DF"/>
    <w:rsid w:val="002617AE"/>
    <w:rsid w:val="00261C4B"/>
    <w:rsid w:val="00261D00"/>
    <w:rsid w:val="00261D44"/>
    <w:rsid w:val="002625D3"/>
    <w:rsid w:val="00262765"/>
    <w:rsid w:val="00262D19"/>
    <w:rsid w:val="00262EFF"/>
    <w:rsid w:val="00263D36"/>
    <w:rsid w:val="0026491B"/>
    <w:rsid w:val="00264BE9"/>
    <w:rsid w:val="00264D07"/>
    <w:rsid w:val="002651A8"/>
    <w:rsid w:val="00265EC6"/>
    <w:rsid w:val="00266679"/>
    <w:rsid w:val="00266F26"/>
    <w:rsid w:val="00267145"/>
    <w:rsid w:val="00267258"/>
    <w:rsid w:val="002715D2"/>
    <w:rsid w:val="00272F75"/>
    <w:rsid w:val="0027456B"/>
    <w:rsid w:val="00274808"/>
    <w:rsid w:val="00275795"/>
    <w:rsid w:val="00276A74"/>
    <w:rsid w:val="002773D7"/>
    <w:rsid w:val="002774C2"/>
    <w:rsid w:val="002775D2"/>
    <w:rsid w:val="00277B41"/>
    <w:rsid w:val="00280C6A"/>
    <w:rsid w:val="00280EDC"/>
    <w:rsid w:val="0028153A"/>
    <w:rsid w:val="0028163F"/>
    <w:rsid w:val="00281AD2"/>
    <w:rsid w:val="00281E21"/>
    <w:rsid w:val="0028252D"/>
    <w:rsid w:val="0028310A"/>
    <w:rsid w:val="00283268"/>
    <w:rsid w:val="00284117"/>
    <w:rsid w:val="00284602"/>
    <w:rsid w:val="002850C3"/>
    <w:rsid w:val="002858B6"/>
    <w:rsid w:val="00286260"/>
    <w:rsid w:val="002866ED"/>
    <w:rsid w:val="00286706"/>
    <w:rsid w:val="00286798"/>
    <w:rsid w:val="00287585"/>
    <w:rsid w:val="00287861"/>
    <w:rsid w:val="0029041D"/>
    <w:rsid w:val="00291C55"/>
    <w:rsid w:val="00291E06"/>
    <w:rsid w:val="002925DA"/>
    <w:rsid w:val="002948DC"/>
    <w:rsid w:val="00294B55"/>
    <w:rsid w:val="00294E7C"/>
    <w:rsid w:val="00294EB5"/>
    <w:rsid w:val="002951F3"/>
    <w:rsid w:val="00295349"/>
    <w:rsid w:val="002954DF"/>
    <w:rsid w:val="00295D77"/>
    <w:rsid w:val="00296D44"/>
    <w:rsid w:val="00296E4F"/>
    <w:rsid w:val="002A0B3E"/>
    <w:rsid w:val="002A3062"/>
    <w:rsid w:val="002A54A9"/>
    <w:rsid w:val="002A5BB5"/>
    <w:rsid w:val="002A7360"/>
    <w:rsid w:val="002A7665"/>
    <w:rsid w:val="002A7C3B"/>
    <w:rsid w:val="002B1CEF"/>
    <w:rsid w:val="002B1D6B"/>
    <w:rsid w:val="002B258E"/>
    <w:rsid w:val="002B2628"/>
    <w:rsid w:val="002B30D5"/>
    <w:rsid w:val="002B342A"/>
    <w:rsid w:val="002B38E9"/>
    <w:rsid w:val="002B45D1"/>
    <w:rsid w:val="002B4656"/>
    <w:rsid w:val="002B46BD"/>
    <w:rsid w:val="002B4AA2"/>
    <w:rsid w:val="002B4EEE"/>
    <w:rsid w:val="002B5404"/>
    <w:rsid w:val="002B5AAB"/>
    <w:rsid w:val="002B6C3F"/>
    <w:rsid w:val="002B6D57"/>
    <w:rsid w:val="002B6E13"/>
    <w:rsid w:val="002B7E9B"/>
    <w:rsid w:val="002C0913"/>
    <w:rsid w:val="002C1882"/>
    <w:rsid w:val="002C280D"/>
    <w:rsid w:val="002C3C0E"/>
    <w:rsid w:val="002C4B07"/>
    <w:rsid w:val="002C51D6"/>
    <w:rsid w:val="002C560F"/>
    <w:rsid w:val="002C579A"/>
    <w:rsid w:val="002C6265"/>
    <w:rsid w:val="002C6E74"/>
    <w:rsid w:val="002D0F7D"/>
    <w:rsid w:val="002D15DD"/>
    <w:rsid w:val="002D18C3"/>
    <w:rsid w:val="002D1A80"/>
    <w:rsid w:val="002D1F53"/>
    <w:rsid w:val="002D2083"/>
    <w:rsid w:val="002D20F6"/>
    <w:rsid w:val="002D34CA"/>
    <w:rsid w:val="002D3830"/>
    <w:rsid w:val="002D3E78"/>
    <w:rsid w:val="002D443F"/>
    <w:rsid w:val="002D64E4"/>
    <w:rsid w:val="002D6A62"/>
    <w:rsid w:val="002D7C0F"/>
    <w:rsid w:val="002E0B72"/>
    <w:rsid w:val="002E138D"/>
    <w:rsid w:val="002E281F"/>
    <w:rsid w:val="002E3256"/>
    <w:rsid w:val="002E39CA"/>
    <w:rsid w:val="002E488E"/>
    <w:rsid w:val="002E501C"/>
    <w:rsid w:val="002E5AED"/>
    <w:rsid w:val="002E5D21"/>
    <w:rsid w:val="002E7689"/>
    <w:rsid w:val="002E7D50"/>
    <w:rsid w:val="002F113A"/>
    <w:rsid w:val="002F1286"/>
    <w:rsid w:val="002F1B57"/>
    <w:rsid w:val="002F25B4"/>
    <w:rsid w:val="002F352D"/>
    <w:rsid w:val="002F3634"/>
    <w:rsid w:val="002F4811"/>
    <w:rsid w:val="002F4CE6"/>
    <w:rsid w:val="002F5DB9"/>
    <w:rsid w:val="002F6987"/>
    <w:rsid w:val="003002BD"/>
    <w:rsid w:val="00300307"/>
    <w:rsid w:val="003004AB"/>
    <w:rsid w:val="00300CA3"/>
    <w:rsid w:val="00301FE9"/>
    <w:rsid w:val="0030211E"/>
    <w:rsid w:val="00303742"/>
    <w:rsid w:val="0030498F"/>
    <w:rsid w:val="00304F06"/>
    <w:rsid w:val="00305D4A"/>
    <w:rsid w:val="00306C19"/>
    <w:rsid w:val="00307292"/>
    <w:rsid w:val="00307EDF"/>
    <w:rsid w:val="003109A8"/>
    <w:rsid w:val="00310F74"/>
    <w:rsid w:val="00311201"/>
    <w:rsid w:val="00311D01"/>
    <w:rsid w:val="00312908"/>
    <w:rsid w:val="00313EBA"/>
    <w:rsid w:val="003156D3"/>
    <w:rsid w:val="00315987"/>
    <w:rsid w:val="00315C53"/>
    <w:rsid w:val="00316E2D"/>
    <w:rsid w:val="00317ADF"/>
    <w:rsid w:val="00321305"/>
    <w:rsid w:val="00321397"/>
    <w:rsid w:val="00321424"/>
    <w:rsid w:val="00321E70"/>
    <w:rsid w:val="00322813"/>
    <w:rsid w:val="00322A03"/>
    <w:rsid w:val="0032334C"/>
    <w:rsid w:val="003244EA"/>
    <w:rsid w:val="00324AD7"/>
    <w:rsid w:val="003254F1"/>
    <w:rsid w:val="00326606"/>
    <w:rsid w:val="00326D32"/>
    <w:rsid w:val="003278E7"/>
    <w:rsid w:val="00327902"/>
    <w:rsid w:val="00330B30"/>
    <w:rsid w:val="00330E69"/>
    <w:rsid w:val="00331D21"/>
    <w:rsid w:val="003323D1"/>
    <w:rsid w:val="00334F07"/>
    <w:rsid w:val="003363DA"/>
    <w:rsid w:val="003405DF"/>
    <w:rsid w:val="0034256A"/>
    <w:rsid w:val="00342664"/>
    <w:rsid w:val="003432BA"/>
    <w:rsid w:val="00344363"/>
    <w:rsid w:val="00344D43"/>
    <w:rsid w:val="0034587A"/>
    <w:rsid w:val="0034617C"/>
    <w:rsid w:val="003464F6"/>
    <w:rsid w:val="003477DA"/>
    <w:rsid w:val="00347EB8"/>
    <w:rsid w:val="00347FFA"/>
    <w:rsid w:val="00350AD5"/>
    <w:rsid w:val="00350FCD"/>
    <w:rsid w:val="003528A3"/>
    <w:rsid w:val="00353365"/>
    <w:rsid w:val="00354571"/>
    <w:rsid w:val="003547CD"/>
    <w:rsid w:val="00354A80"/>
    <w:rsid w:val="00355380"/>
    <w:rsid w:val="00355553"/>
    <w:rsid w:val="00355ED1"/>
    <w:rsid w:val="00355FF4"/>
    <w:rsid w:val="003567BA"/>
    <w:rsid w:val="003568BE"/>
    <w:rsid w:val="00356967"/>
    <w:rsid w:val="003571FF"/>
    <w:rsid w:val="003575B4"/>
    <w:rsid w:val="00360062"/>
    <w:rsid w:val="00361E3B"/>
    <w:rsid w:val="003625BB"/>
    <w:rsid w:val="00362E0C"/>
    <w:rsid w:val="0036324C"/>
    <w:rsid w:val="003636BC"/>
    <w:rsid w:val="0036413B"/>
    <w:rsid w:val="003650DF"/>
    <w:rsid w:val="00365195"/>
    <w:rsid w:val="003659D7"/>
    <w:rsid w:val="003664E8"/>
    <w:rsid w:val="00367065"/>
    <w:rsid w:val="00367087"/>
    <w:rsid w:val="0036728D"/>
    <w:rsid w:val="00367B65"/>
    <w:rsid w:val="00367E56"/>
    <w:rsid w:val="003702FD"/>
    <w:rsid w:val="0037066F"/>
    <w:rsid w:val="0037068F"/>
    <w:rsid w:val="00370A24"/>
    <w:rsid w:val="00370B97"/>
    <w:rsid w:val="0037118C"/>
    <w:rsid w:val="003716ED"/>
    <w:rsid w:val="00371D02"/>
    <w:rsid w:val="00371E51"/>
    <w:rsid w:val="00372051"/>
    <w:rsid w:val="003723BD"/>
    <w:rsid w:val="0037480D"/>
    <w:rsid w:val="003751CE"/>
    <w:rsid w:val="00375512"/>
    <w:rsid w:val="00376292"/>
    <w:rsid w:val="00376628"/>
    <w:rsid w:val="00376B92"/>
    <w:rsid w:val="00377E29"/>
    <w:rsid w:val="0038029B"/>
    <w:rsid w:val="003803BB"/>
    <w:rsid w:val="00381012"/>
    <w:rsid w:val="00382A7D"/>
    <w:rsid w:val="0038378E"/>
    <w:rsid w:val="00383A70"/>
    <w:rsid w:val="00384060"/>
    <w:rsid w:val="0038546A"/>
    <w:rsid w:val="00385BCF"/>
    <w:rsid w:val="003861E1"/>
    <w:rsid w:val="0038732F"/>
    <w:rsid w:val="00390285"/>
    <w:rsid w:val="0039086C"/>
    <w:rsid w:val="003908FA"/>
    <w:rsid w:val="00390F83"/>
    <w:rsid w:val="0039139D"/>
    <w:rsid w:val="0039144B"/>
    <w:rsid w:val="00391536"/>
    <w:rsid w:val="00391950"/>
    <w:rsid w:val="00391D9D"/>
    <w:rsid w:val="0039249A"/>
    <w:rsid w:val="00393A51"/>
    <w:rsid w:val="00394C95"/>
    <w:rsid w:val="00395CB9"/>
    <w:rsid w:val="00396EA9"/>
    <w:rsid w:val="003970CD"/>
    <w:rsid w:val="00397536"/>
    <w:rsid w:val="003A1132"/>
    <w:rsid w:val="003A2610"/>
    <w:rsid w:val="003A3C6E"/>
    <w:rsid w:val="003A41F9"/>
    <w:rsid w:val="003A48EC"/>
    <w:rsid w:val="003A52E1"/>
    <w:rsid w:val="003A57B0"/>
    <w:rsid w:val="003A60FA"/>
    <w:rsid w:val="003A7BE7"/>
    <w:rsid w:val="003A7F75"/>
    <w:rsid w:val="003B08D6"/>
    <w:rsid w:val="003B0D3C"/>
    <w:rsid w:val="003B13CD"/>
    <w:rsid w:val="003B1986"/>
    <w:rsid w:val="003B1D28"/>
    <w:rsid w:val="003B2565"/>
    <w:rsid w:val="003B4B83"/>
    <w:rsid w:val="003B5AA2"/>
    <w:rsid w:val="003B6474"/>
    <w:rsid w:val="003B69CB"/>
    <w:rsid w:val="003B707A"/>
    <w:rsid w:val="003B7C76"/>
    <w:rsid w:val="003C099B"/>
    <w:rsid w:val="003C1335"/>
    <w:rsid w:val="003C1D69"/>
    <w:rsid w:val="003C247E"/>
    <w:rsid w:val="003C27F7"/>
    <w:rsid w:val="003C2F70"/>
    <w:rsid w:val="003C369F"/>
    <w:rsid w:val="003C4811"/>
    <w:rsid w:val="003C4C1A"/>
    <w:rsid w:val="003C4FE5"/>
    <w:rsid w:val="003C5B9B"/>
    <w:rsid w:val="003C60B7"/>
    <w:rsid w:val="003C6B30"/>
    <w:rsid w:val="003C73D5"/>
    <w:rsid w:val="003D01E2"/>
    <w:rsid w:val="003D06C4"/>
    <w:rsid w:val="003D07D7"/>
    <w:rsid w:val="003D109A"/>
    <w:rsid w:val="003D10FF"/>
    <w:rsid w:val="003D5059"/>
    <w:rsid w:val="003D6093"/>
    <w:rsid w:val="003E1110"/>
    <w:rsid w:val="003E1A3F"/>
    <w:rsid w:val="003E1E13"/>
    <w:rsid w:val="003E1EC0"/>
    <w:rsid w:val="003E2479"/>
    <w:rsid w:val="003E29AA"/>
    <w:rsid w:val="003E2B8A"/>
    <w:rsid w:val="003E340E"/>
    <w:rsid w:val="003E344D"/>
    <w:rsid w:val="003E3559"/>
    <w:rsid w:val="003E5688"/>
    <w:rsid w:val="003E5737"/>
    <w:rsid w:val="003E68D8"/>
    <w:rsid w:val="003F0217"/>
    <w:rsid w:val="003F0E6F"/>
    <w:rsid w:val="003F13A9"/>
    <w:rsid w:val="003F1468"/>
    <w:rsid w:val="003F1936"/>
    <w:rsid w:val="003F3424"/>
    <w:rsid w:val="003F3951"/>
    <w:rsid w:val="003F3A10"/>
    <w:rsid w:val="003F5F02"/>
    <w:rsid w:val="003F63EE"/>
    <w:rsid w:val="003F6DBA"/>
    <w:rsid w:val="003F78BC"/>
    <w:rsid w:val="003F7F4D"/>
    <w:rsid w:val="004003B7"/>
    <w:rsid w:val="00400CF1"/>
    <w:rsid w:val="0040121C"/>
    <w:rsid w:val="00401612"/>
    <w:rsid w:val="004018C5"/>
    <w:rsid w:val="00401FD0"/>
    <w:rsid w:val="00402ABF"/>
    <w:rsid w:val="00402CE2"/>
    <w:rsid w:val="004039EA"/>
    <w:rsid w:val="00403BCC"/>
    <w:rsid w:val="00404C31"/>
    <w:rsid w:val="00404EE3"/>
    <w:rsid w:val="00406144"/>
    <w:rsid w:val="00406B82"/>
    <w:rsid w:val="0040708D"/>
    <w:rsid w:val="00407198"/>
    <w:rsid w:val="00410CA3"/>
    <w:rsid w:val="00410E3E"/>
    <w:rsid w:val="004114B2"/>
    <w:rsid w:val="00411A15"/>
    <w:rsid w:val="00412D06"/>
    <w:rsid w:val="00412D71"/>
    <w:rsid w:val="0041380E"/>
    <w:rsid w:val="00413934"/>
    <w:rsid w:val="00415053"/>
    <w:rsid w:val="0041523A"/>
    <w:rsid w:val="00415FB3"/>
    <w:rsid w:val="00416CC5"/>
    <w:rsid w:val="00417298"/>
    <w:rsid w:val="00417A47"/>
    <w:rsid w:val="00417B4D"/>
    <w:rsid w:val="00417E98"/>
    <w:rsid w:val="00420234"/>
    <w:rsid w:val="004210BA"/>
    <w:rsid w:val="00421423"/>
    <w:rsid w:val="00421663"/>
    <w:rsid w:val="0042169A"/>
    <w:rsid w:val="004219C2"/>
    <w:rsid w:val="00422AC3"/>
    <w:rsid w:val="00422AEE"/>
    <w:rsid w:val="00422E73"/>
    <w:rsid w:val="00423276"/>
    <w:rsid w:val="00423E8A"/>
    <w:rsid w:val="00424E6B"/>
    <w:rsid w:val="00425681"/>
    <w:rsid w:val="00425AB3"/>
    <w:rsid w:val="00425BB9"/>
    <w:rsid w:val="00425D00"/>
    <w:rsid w:val="00426053"/>
    <w:rsid w:val="00426C0A"/>
    <w:rsid w:val="004312A4"/>
    <w:rsid w:val="004326AB"/>
    <w:rsid w:val="00432BCA"/>
    <w:rsid w:val="00433542"/>
    <w:rsid w:val="00435DF1"/>
    <w:rsid w:val="00435F83"/>
    <w:rsid w:val="00436454"/>
    <w:rsid w:val="00436AA8"/>
    <w:rsid w:val="004375E1"/>
    <w:rsid w:val="00440DA7"/>
    <w:rsid w:val="0044265F"/>
    <w:rsid w:val="004428D2"/>
    <w:rsid w:val="00442BBA"/>
    <w:rsid w:val="0044342B"/>
    <w:rsid w:val="00443A48"/>
    <w:rsid w:val="00447367"/>
    <w:rsid w:val="00447AAC"/>
    <w:rsid w:val="00447C4F"/>
    <w:rsid w:val="00450B64"/>
    <w:rsid w:val="00451008"/>
    <w:rsid w:val="00451BC8"/>
    <w:rsid w:val="00451E3E"/>
    <w:rsid w:val="004524CC"/>
    <w:rsid w:val="00452609"/>
    <w:rsid w:val="00452765"/>
    <w:rsid w:val="004541D2"/>
    <w:rsid w:val="0045502E"/>
    <w:rsid w:val="004553DD"/>
    <w:rsid w:val="00455449"/>
    <w:rsid w:val="00455D10"/>
    <w:rsid w:val="00455FBA"/>
    <w:rsid w:val="00456C87"/>
    <w:rsid w:val="004574F2"/>
    <w:rsid w:val="00457ECA"/>
    <w:rsid w:val="00460288"/>
    <w:rsid w:val="00461C01"/>
    <w:rsid w:val="00462457"/>
    <w:rsid w:val="00462EA0"/>
    <w:rsid w:val="00463056"/>
    <w:rsid w:val="00463842"/>
    <w:rsid w:val="00463A61"/>
    <w:rsid w:val="0046467C"/>
    <w:rsid w:val="00464873"/>
    <w:rsid w:val="00466E7C"/>
    <w:rsid w:val="004670EF"/>
    <w:rsid w:val="004707BE"/>
    <w:rsid w:val="00471173"/>
    <w:rsid w:val="004724A0"/>
    <w:rsid w:val="004726D2"/>
    <w:rsid w:val="00472758"/>
    <w:rsid w:val="004734F6"/>
    <w:rsid w:val="00473BAA"/>
    <w:rsid w:val="004746B3"/>
    <w:rsid w:val="004753DD"/>
    <w:rsid w:val="004756B0"/>
    <w:rsid w:val="00475B7C"/>
    <w:rsid w:val="004772F7"/>
    <w:rsid w:val="00481C08"/>
    <w:rsid w:val="004821E4"/>
    <w:rsid w:val="004822A8"/>
    <w:rsid w:val="00482E79"/>
    <w:rsid w:val="00482F9E"/>
    <w:rsid w:val="00483CFF"/>
    <w:rsid w:val="00483E22"/>
    <w:rsid w:val="004840DF"/>
    <w:rsid w:val="004844BA"/>
    <w:rsid w:val="00484766"/>
    <w:rsid w:val="004850ED"/>
    <w:rsid w:val="00486112"/>
    <w:rsid w:val="004868C7"/>
    <w:rsid w:val="00486CE9"/>
    <w:rsid w:val="00487981"/>
    <w:rsid w:val="00487C7D"/>
    <w:rsid w:val="00490C02"/>
    <w:rsid w:val="00490D96"/>
    <w:rsid w:val="00491EAE"/>
    <w:rsid w:val="0049274A"/>
    <w:rsid w:val="00493D7B"/>
    <w:rsid w:val="00494C74"/>
    <w:rsid w:val="00495129"/>
    <w:rsid w:val="00495F79"/>
    <w:rsid w:val="00496FD1"/>
    <w:rsid w:val="004A012A"/>
    <w:rsid w:val="004A161C"/>
    <w:rsid w:val="004A4489"/>
    <w:rsid w:val="004A4499"/>
    <w:rsid w:val="004A4635"/>
    <w:rsid w:val="004A48C1"/>
    <w:rsid w:val="004A49A8"/>
    <w:rsid w:val="004A4CE9"/>
    <w:rsid w:val="004A52CB"/>
    <w:rsid w:val="004A6F33"/>
    <w:rsid w:val="004B0E1E"/>
    <w:rsid w:val="004B1FE9"/>
    <w:rsid w:val="004B2917"/>
    <w:rsid w:val="004B2A71"/>
    <w:rsid w:val="004B49D5"/>
    <w:rsid w:val="004B5AD3"/>
    <w:rsid w:val="004B632F"/>
    <w:rsid w:val="004B6667"/>
    <w:rsid w:val="004B67A9"/>
    <w:rsid w:val="004B7B49"/>
    <w:rsid w:val="004B7D0D"/>
    <w:rsid w:val="004C10D2"/>
    <w:rsid w:val="004C2B51"/>
    <w:rsid w:val="004C322C"/>
    <w:rsid w:val="004C4C63"/>
    <w:rsid w:val="004C5450"/>
    <w:rsid w:val="004C55EE"/>
    <w:rsid w:val="004C5AFF"/>
    <w:rsid w:val="004C66FC"/>
    <w:rsid w:val="004D4196"/>
    <w:rsid w:val="004D437E"/>
    <w:rsid w:val="004D4628"/>
    <w:rsid w:val="004D48DE"/>
    <w:rsid w:val="004D4F6E"/>
    <w:rsid w:val="004D70E0"/>
    <w:rsid w:val="004D71D4"/>
    <w:rsid w:val="004D7744"/>
    <w:rsid w:val="004E05D7"/>
    <w:rsid w:val="004E0B4B"/>
    <w:rsid w:val="004E0EB6"/>
    <w:rsid w:val="004E0F94"/>
    <w:rsid w:val="004E1756"/>
    <w:rsid w:val="004E19FF"/>
    <w:rsid w:val="004E2051"/>
    <w:rsid w:val="004E2674"/>
    <w:rsid w:val="004E403C"/>
    <w:rsid w:val="004E52C2"/>
    <w:rsid w:val="004E5F87"/>
    <w:rsid w:val="004F0064"/>
    <w:rsid w:val="004F0458"/>
    <w:rsid w:val="004F1239"/>
    <w:rsid w:val="004F1912"/>
    <w:rsid w:val="004F2F6A"/>
    <w:rsid w:val="004F3148"/>
    <w:rsid w:val="004F3B82"/>
    <w:rsid w:val="004F4341"/>
    <w:rsid w:val="004F470D"/>
    <w:rsid w:val="004F4816"/>
    <w:rsid w:val="004F4D6D"/>
    <w:rsid w:val="004F51E7"/>
    <w:rsid w:val="004F523A"/>
    <w:rsid w:val="004F52E0"/>
    <w:rsid w:val="004F5D82"/>
    <w:rsid w:val="004F6031"/>
    <w:rsid w:val="004F6CFC"/>
    <w:rsid w:val="004F7358"/>
    <w:rsid w:val="004F76D3"/>
    <w:rsid w:val="004F77A4"/>
    <w:rsid w:val="004F7D03"/>
    <w:rsid w:val="004F7ED9"/>
    <w:rsid w:val="00500C05"/>
    <w:rsid w:val="00500C65"/>
    <w:rsid w:val="00501BFF"/>
    <w:rsid w:val="005035B7"/>
    <w:rsid w:val="00503755"/>
    <w:rsid w:val="00503793"/>
    <w:rsid w:val="0050394D"/>
    <w:rsid w:val="00504097"/>
    <w:rsid w:val="00504942"/>
    <w:rsid w:val="005077D5"/>
    <w:rsid w:val="00507B02"/>
    <w:rsid w:val="00510B94"/>
    <w:rsid w:val="00510CC9"/>
    <w:rsid w:val="00511FC9"/>
    <w:rsid w:val="005123E1"/>
    <w:rsid w:val="00513D60"/>
    <w:rsid w:val="005142A6"/>
    <w:rsid w:val="00514C78"/>
    <w:rsid w:val="005160E6"/>
    <w:rsid w:val="0051642C"/>
    <w:rsid w:val="00516734"/>
    <w:rsid w:val="00517239"/>
    <w:rsid w:val="00517A97"/>
    <w:rsid w:val="00517FAD"/>
    <w:rsid w:val="00520082"/>
    <w:rsid w:val="0052129A"/>
    <w:rsid w:val="005248F6"/>
    <w:rsid w:val="00525184"/>
    <w:rsid w:val="00525BDD"/>
    <w:rsid w:val="00525F93"/>
    <w:rsid w:val="00526116"/>
    <w:rsid w:val="00526293"/>
    <w:rsid w:val="005271AD"/>
    <w:rsid w:val="00527CDC"/>
    <w:rsid w:val="005305A8"/>
    <w:rsid w:val="00531051"/>
    <w:rsid w:val="005318CE"/>
    <w:rsid w:val="00531A5E"/>
    <w:rsid w:val="00533E06"/>
    <w:rsid w:val="005352D7"/>
    <w:rsid w:val="00536269"/>
    <w:rsid w:val="005375E3"/>
    <w:rsid w:val="00537AD6"/>
    <w:rsid w:val="005403F6"/>
    <w:rsid w:val="00541573"/>
    <w:rsid w:val="005419E4"/>
    <w:rsid w:val="00542448"/>
    <w:rsid w:val="00542F04"/>
    <w:rsid w:val="0054416E"/>
    <w:rsid w:val="00545FE0"/>
    <w:rsid w:val="00547AF5"/>
    <w:rsid w:val="0055037E"/>
    <w:rsid w:val="0055094A"/>
    <w:rsid w:val="005513E0"/>
    <w:rsid w:val="0055259B"/>
    <w:rsid w:val="00553ED3"/>
    <w:rsid w:val="005553EE"/>
    <w:rsid w:val="00555E38"/>
    <w:rsid w:val="005578EB"/>
    <w:rsid w:val="00560E93"/>
    <w:rsid w:val="00560ED4"/>
    <w:rsid w:val="005613E4"/>
    <w:rsid w:val="0056199A"/>
    <w:rsid w:val="00561CEB"/>
    <w:rsid w:val="005620DB"/>
    <w:rsid w:val="0056278D"/>
    <w:rsid w:val="005630AB"/>
    <w:rsid w:val="005638C5"/>
    <w:rsid w:val="00564CFF"/>
    <w:rsid w:val="0056540B"/>
    <w:rsid w:val="00566118"/>
    <w:rsid w:val="0056700E"/>
    <w:rsid w:val="0056723F"/>
    <w:rsid w:val="00570A1A"/>
    <w:rsid w:val="00571432"/>
    <w:rsid w:val="00571C07"/>
    <w:rsid w:val="00572C1A"/>
    <w:rsid w:val="00572E3A"/>
    <w:rsid w:val="0057415D"/>
    <w:rsid w:val="00575112"/>
    <w:rsid w:val="00575495"/>
    <w:rsid w:val="00576000"/>
    <w:rsid w:val="00580C31"/>
    <w:rsid w:val="00580D5C"/>
    <w:rsid w:val="00580DF6"/>
    <w:rsid w:val="00581585"/>
    <w:rsid w:val="0058180E"/>
    <w:rsid w:val="00581976"/>
    <w:rsid w:val="005836C9"/>
    <w:rsid w:val="005838AE"/>
    <w:rsid w:val="00584055"/>
    <w:rsid w:val="00585025"/>
    <w:rsid w:val="00585DF1"/>
    <w:rsid w:val="00585FF1"/>
    <w:rsid w:val="00586120"/>
    <w:rsid w:val="00586348"/>
    <w:rsid w:val="0058662E"/>
    <w:rsid w:val="0058711F"/>
    <w:rsid w:val="00587391"/>
    <w:rsid w:val="00587E80"/>
    <w:rsid w:val="005906D0"/>
    <w:rsid w:val="00590C7E"/>
    <w:rsid w:val="005915A1"/>
    <w:rsid w:val="005918D6"/>
    <w:rsid w:val="00591965"/>
    <w:rsid w:val="00591F09"/>
    <w:rsid w:val="00591F1E"/>
    <w:rsid w:val="00592406"/>
    <w:rsid w:val="00592552"/>
    <w:rsid w:val="0059399A"/>
    <w:rsid w:val="005940BC"/>
    <w:rsid w:val="00595AC3"/>
    <w:rsid w:val="00596097"/>
    <w:rsid w:val="00596549"/>
    <w:rsid w:val="005971B6"/>
    <w:rsid w:val="00597570"/>
    <w:rsid w:val="0059764E"/>
    <w:rsid w:val="005A0C83"/>
    <w:rsid w:val="005A1CD2"/>
    <w:rsid w:val="005A2942"/>
    <w:rsid w:val="005A2C9A"/>
    <w:rsid w:val="005A370F"/>
    <w:rsid w:val="005A3B49"/>
    <w:rsid w:val="005A4514"/>
    <w:rsid w:val="005A47D3"/>
    <w:rsid w:val="005A570D"/>
    <w:rsid w:val="005A72BF"/>
    <w:rsid w:val="005A7A61"/>
    <w:rsid w:val="005B066E"/>
    <w:rsid w:val="005B0672"/>
    <w:rsid w:val="005B0A17"/>
    <w:rsid w:val="005B0DFB"/>
    <w:rsid w:val="005B137E"/>
    <w:rsid w:val="005B1887"/>
    <w:rsid w:val="005B1C05"/>
    <w:rsid w:val="005B1EF6"/>
    <w:rsid w:val="005B2135"/>
    <w:rsid w:val="005B2B38"/>
    <w:rsid w:val="005B2D21"/>
    <w:rsid w:val="005B33E7"/>
    <w:rsid w:val="005B4239"/>
    <w:rsid w:val="005B5788"/>
    <w:rsid w:val="005B57B4"/>
    <w:rsid w:val="005B5998"/>
    <w:rsid w:val="005B5CBB"/>
    <w:rsid w:val="005B5F98"/>
    <w:rsid w:val="005B6FAD"/>
    <w:rsid w:val="005B7433"/>
    <w:rsid w:val="005B792D"/>
    <w:rsid w:val="005B7A6D"/>
    <w:rsid w:val="005B7BFB"/>
    <w:rsid w:val="005C023E"/>
    <w:rsid w:val="005C055D"/>
    <w:rsid w:val="005C06C5"/>
    <w:rsid w:val="005C0A9F"/>
    <w:rsid w:val="005C0C91"/>
    <w:rsid w:val="005C15FD"/>
    <w:rsid w:val="005C1725"/>
    <w:rsid w:val="005C18EB"/>
    <w:rsid w:val="005C1B9D"/>
    <w:rsid w:val="005C32AD"/>
    <w:rsid w:val="005C33D5"/>
    <w:rsid w:val="005C4972"/>
    <w:rsid w:val="005C4E5A"/>
    <w:rsid w:val="005C4EEA"/>
    <w:rsid w:val="005C53CA"/>
    <w:rsid w:val="005C5BCE"/>
    <w:rsid w:val="005C7198"/>
    <w:rsid w:val="005C7CEF"/>
    <w:rsid w:val="005D0170"/>
    <w:rsid w:val="005D0452"/>
    <w:rsid w:val="005D2729"/>
    <w:rsid w:val="005D3516"/>
    <w:rsid w:val="005D4E7F"/>
    <w:rsid w:val="005D5D22"/>
    <w:rsid w:val="005D67A3"/>
    <w:rsid w:val="005D69B1"/>
    <w:rsid w:val="005E0910"/>
    <w:rsid w:val="005E1B92"/>
    <w:rsid w:val="005E2B2C"/>
    <w:rsid w:val="005E3314"/>
    <w:rsid w:val="005E3B8F"/>
    <w:rsid w:val="005E489D"/>
    <w:rsid w:val="005E49E3"/>
    <w:rsid w:val="005E584E"/>
    <w:rsid w:val="005E79BA"/>
    <w:rsid w:val="005F02C8"/>
    <w:rsid w:val="005F0AC6"/>
    <w:rsid w:val="005F1C0D"/>
    <w:rsid w:val="005F2108"/>
    <w:rsid w:val="005F2591"/>
    <w:rsid w:val="005F3B63"/>
    <w:rsid w:val="005F3C02"/>
    <w:rsid w:val="005F4056"/>
    <w:rsid w:val="005F45CD"/>
    <w:rsid w:val="005F4F93"/>
    <w:rsid w:val="005F5346"/>
    <w:rsid w:val="005F5836"/>
    <w:rsid w:val="005F5A58"/>
    <w:rsid w:val="005F5FC6"/>
    <w:rsid w:val="005F60C6"/>
    <w:rsid w:val="005F7762"/>
    <w:rsid w:val="006008D4"/>
    <w:rsid w:val="00601B10"/>
    <w:rsid w:val="006021E4"/>
    <w:rsid w:val="006024C2"/>
    <w:rsid w:val="00602C50"/>
    <w:rsid w:val="00602EBD"/>
    <w:rsid w:val="0060301B"/>
    <w:rsid w:val="00603DBB"/>
    <w:rsid w:val="00604183"/>
    <w:rsid w:val="00610327"/>
    <w:rsid w:val="00611947"/>
    <w:rsid w:val="006130EB"/>
    <w:rsid w:val="00614044"/>
    <w:rsid w:val="00614CD5"/>
    <w:rsid w:val="00615666"/>
    <w:rsid w:val="00615E94"/>
    <w:rsid w:val="006160E5"/>
    <w:rsid w:val="00616237"/>
    <w:rsid w:val="006171C6"/>
    <w:rsid w:val="0062029C"/>
    <w:rsid w:val="006206A0"/>
    <w:rsid w:val="0062073C"/>
    <w:rsid w:val="00620A45"/>
    <w:rsid w:val="00620D0F"/>
    <w:rsid w:val="0062105E"/>
    <w:rsid w:val="00621571"/>
    <w:rsid w:val="00621995"/>
    <w:rsid w:val="0062255B"/>
    <w:rsid w:val="00622BD1"/>
    <w:rsid w:val="00623D9F"/>
    <w:rsid w:val="00624206"/>
    <w:rsid w:val="00624443"/>
    <w:rsid w:val="0062494E"/>
    <w:rsid w:val="00624A20"/>
    <w:rsid w:val="00625501"/>
    <w:rsid w:val="006259CB"/>
    <w:rsid w:val="00626C57"/>
    <w:rsid w:val="00626D0C"/>
    <w:rsid w:val="00627507"/>
    <w:rsid w:val="00627A82"/>
    <w:rsid w:val="00627C26"/>
    <w:rsid w:val="0063238B"/>
    <w:rsid w:val="00632EEE"/>
    <w:rsid w:val="00633305"/>
    <w:rsid w:val="00634C3A"/>
    <w:rsid w:val="00635430"/>
    <w:rsid w:val="0063622A"/>
    <w:rsid w:val="006365A2"/>
    <w:rsid w:val="00636D91"/>
    <w:rsid w:val="00636E32"/>
    <w:rsid w:val="00636F58"/>
    <w:rsid w:val="006372BC"/>
    <w:rsid w:val="006373C1"/>
    <w:rsid w:val="00637FB1"/>
    <w:rsid w:val="0064131F"/>
    <w:rsid w:val="00642C0B"/>
    <w:rsid w:val="00642FB4"/>
    <w:rsid w:val="006434A0"/>
    <w:rsid w:val="00644A7E"/>
    <w:rsid w:val="00645C40"/>
    <w:rsid w:val="00645DD8"/>
    <w:rsid w:val="006463A9"/>
    <w:rsid w:val="00647594"/>
    <w:rsid w:val="006479F4"/>
    <w:rsid w:val="00650BA2"/>
    <w:rsid w:val="00650E0A"/>
    <w:rsid w:val="00653942"/>
    <w:rsid w:val="00653C32"/>
    <w:rsid w:val="00653E15"/>
    <w:rsid w:val="006553A6"/>
    <w:rsid w:val="00655FC1"/>
    <w:rsid w:val="0065669A"/>
    <w:rsid w:val="0065680E"/>
    <w:rsid w:val="006572D4"/>
    <w:rsid w:val="00657393"/>
    <w:rsid w:val="00657CC9"/>
    <w:rsid w:val="00657E32"/>
    <w:rsid w:val="006612F2"/>
    <w:rsid w:val="00661F73"/>
    <w:rsid w:val="00662083"/>
    <w:rsid w:val="0066441A"/>
    <w:rsid w:val="006645BF"/>
    <w:rsid w:val="00664D44"/>
    <w:rsid w:val="006651BB"/>
    <w:rsid w:val="00665265"/>
    <w:rsid w:val="006671D3"/>
    <w:rsid w:val="006671E4"/>
    <w:rsid w:val="00667688"/>
    <w:rsid w:val="00667846"/>
    <w:rsid w:val="00670BDC"/>
    <w:rsid w:val="00671381"/>
    <w:rsid w:val="00671C80"/>
    <w:rsid w:val="0067304F"/>
    <w:rsid w:val="00673DAA"/>
    <w:rsid w:val="00674208"/>
    <w:rsid w:val="00675370"/>
    <w:rsid w:val="00675578"/>
    <w:rsid w:val="00675CE0"/>
    <w:rsid w:val="00676194"/>
    <w:rsid w:val="0067676F"/>
    <w:rsid w:val="00677738"/>
    <w:rsid w:val="00677B95"/>
    <w:rsid w:val="006809DD"/>
    <w:rsid w:val="00680D6E"/>
    <w:rsid w:val="006813AC"/>
    <w:rsid w:val="006813EC"/>
    <w:rsid w:val="006822BD"/>
    <w:rsid w:val="00682460"/>
    <w:rsid w:val="00682C7B"/>
    <w:rsid w:val="006839C4"/>
    <w:rsid w:val="0068441B"/>
    <w:rsid w:val="0068556D"/>
    <w:rsid w:val="00685796"/>
    <w:rsid w:val="006858E8"/>
    <w:rsid w:val="00686B2E"/>
    <w:rsid w:val="00687020"/>
    <w:rsid w:val="00687261"/>
    <w:rsid w:val="0068782A"/>
    <w:rsid w:val="00690A4D"/>
    <w:rsid w:val="00690A66"/>
    <w:rsid w:val="00690BF6"/>
    <w:rsid w:val="00691940"/>
    <w:rsid w:val="00693232"/>
    <w:rsid w:val="006937AC"/>
    <w:rsid w:val="00694184"/>
    <w:rsid w:val="00694463"/>
    <w:rsid w:val="006944DE"/>
    <w:rsid w:val="00695012"/>
    <w:rsid w:val="006958B6"/>
    <w:rsid w:val="00696542"/>
    <w:rsid w:val="00696622"/>
    <w:rsid w:val="00696CA4"/>
    <w:rsid w:val="0069718F"/>
    <w:rsid w:val="006A04D1"/>
    <w:rsid w:val="006A0A76"/>
    <w:rsid w:val="006A1095"/>
    <w:rsid w:val="006A13F5"/>
    <w:rsid w:val="006A391C"/>
    <w:rsid w:val="006A3BC2"/>
    <w:rsid w:val="006A3C73"/>
    <w:rsid w:val="006A3CF8"/>
    <w:rsid w:val="006A3D1C"/>
    <w:rsid w:val="006A408C"/>
    <w:rsid w:val="006A45A1"/>
    <w:rsid w:val="006A4B25"/>
    <w:rsid w:val="006A4C77"/>
    <w:rsid w:val="006A5384"/>
    <w:rsid w:val="006A5A7A"/>
    <w:rsid w:val="006A5AED"/>
    <w:rsid w:val="006A5EFF"/>
    <w:rsid w:val="006A6AEE"/>
    <w:rsid w:val="006A7B87"/>
    <w:rsid w:val="006B0182"/>
    <w:rsid w:val="006B16C5"/>
    <w:rsid w:val="006B247A"/>
    <w:rsid w:val="006B56F9"/>
    <w:rsid w:val="006B5CC4"/>
    <w:rsid w:val="006B61D8"/>
    <w:rsid w:val="006B6B8D"/>
    <w:rsid w:val="006B6B8E"/>
    <w:rsid w:val="006B7028"/>
    <w:rsid w:val="006B72ED"/>
    <w:rsid w:val="006B75B4"/>
    <w:rsid w:val="006C14BF"/>
    <w:rsid w:val="006C224E"/>
    <w:rsid w:val="006C3EBE"/>
    <w:rsid w:val="006C427A"/>
    <w:rsid w:val="006C4A74"/>
    <w:rsid w:val="006C4AB1"/>
    <w:rsid w:val="006C4D2D"/>
    <w:rsid w:val="006C4D8D"/>
    <w:rsid w:val="006C54CC"/>
    <w:rsid w:val="006D110C"/>
    <w:rsid w:val="006D13D4"/>
    <w:rsid w:val="006D13E5"/>
    <w:rsid w:val="006D15D4"/>
    <w:rsid w:val="006D203F"/>
    <w:rsid w:val="006D28F6"/>
    <w:rsid w:val="006D3EFE"/>
    <w:rsid w:val="006D411E"/>
    <w:rsid w:val="006D4D0D"/>
    <w:rsid w:val="006D50B0"/>
    <w:rsid w:val="006D5379"/>
    <w:rsid w:val="006D55FB"/>
    <w:rsid w:val="006D5759"/>
    <w:rsid w:val="006D5C20"/>
    <w:rsid w:val="006D5CE2"/>
    <w:rsid w:val="006D6992"/>
    <w:rsid w:val="006D6C60"/>
    <w:rsid w:val="006D6D5A"/>
    <w:rsid w:val="006D7A19"/>
    <w:rsid w:val="006D7CEF"/>
    <w:rsid w:val="006D7EF4"/>
    <w:rsid w:val="006E09DF"/>
    <w:rsid w:val="006E11E0"/>
    <w:rsid w:val="006E15C2"/>
    <w:rsid w:val="006E1837"/>
    <w:rsid w:val="006E220A"/>
    <w:rsid w:val="006E285F"/>
    <w:rsid w:val="006E519B"/>
    <w:rsid w:val="006E56B3"/>
    <w:rsid w:val="006E68F0"/>
    <w:rsid w:val="006E6A8E"/>
    <w:rsid w:val="006E7DEF"/>
    <w:rsid w:val="006E7F4D"/>
    <w:rsid w:val="006F2394"/>
    <w:rsid w:val="006F33DD"/>
    <w:rsid w:val="006F39F6"/>
    <w:rsid w:val="006F3D7B"/>
    <w:rsid w:val="006F4695"/>
    <w:rsid w:val="006F47CC"/>
    <w:rsid w:val="006F4CE0"/>
    <w:rsid w:val="006F509B"/>
    <w:rsid w:val="006F5C3F"/>
    <w:rsid w:val="006F6159"/>
    <w:rsid w:val="006F77E0"/>
    <w:rsid w:val="00701311"/>
    <w:rsid w:val="00702707"/>
    <w:rsid w:val="00702AA4"/>
    <w:rsid w:val="0070345A"/>
    <w:rsid w:val="00704604"/>
    <w:rsid w:val="00704CDA"/>
    <w:rsid w:val="00705FA9"/>
    <w:rsid w:val="00707057"/>
    <w:rsid w:val="00707EC9"/>
    <w:rsid w:val="00707F82"/>
    <w:rsid w:val="00711F71"/>
    <w:rsid w:val="007125F5"/>
    <w:rsid w:val="00713737"/>
    <w:rsid w:val="00713A3F"/>
    <w:rsid w:val="00713B00"/>
    <w:rsid w:val="00714102"/>
    <w:rsid w:val="007144C2"/>
    <w:rsid w:val="00715F3A"/>
    <w:rsid w:val="00716285"/>
    <w:rsid w:val="007165A7"/>
    <w:rsid w:val="00717DFE"/>
    <w:rsid w:val="007205CD"/>
    <w:rsid w:val="00720C70"/>
    <w:rsid w:val="00720E55"/>
    <w:rsid w:val="00721894"/>
    <w:rsid w:val="007228AC"/>
    <w:rsid w:val="00722FD4"/>
    <w:rsid w:val="0072348D"/>
    <w:rsid w:val="007238F5"/>
    <w:rsid w:val="00723AFF"/>
    <w:rsid w:val="00723E77"/>
    <w:rsid w:val="007241D0"/>
    <w:rsid w:val="00724382"/>
    <w:rsid w:val="00724C03"/>
    <w:rsid w:val="00726183"/>
    <w:rsid w:val="0072643E"/>
    <w:rsid w:val="00726C32"/>
    <w:rsid w:val="00726CD2"/>
    <w:rsid w:val="00726D25"/>
    <w:rsid w:val="00730BF7"/>
    <w:rsid w:val="00731DB9"/>
    <w:rsid w:val="0073233B"/>
    <w:rsid w:val="0073268A"/>
    <w:rsid w:val="00732F47"/>
    <w:rsid w:val="00733A6B"/>
    <w:rsid w:val="00734190"/>
    <w:rsid w:val="007343E5"/>
    <w:rsid w:val="007346F6"/>
    <w:rsid w:val="007349BF"/>
    <w:rsid w:val="00735C55"/>
    <w:rsid w:val="00735F3E"/>
    <w:rsid w:val="00736C64"/>
    <w:rsid w:val="007370BE"/>
    <w:rsid w:val="00737368"/>
    <w:rsid w:val="00737501"/>
    <w:rsid w:val="0074000E"/>
    <w:rsid w:val="00740046"/>
    <w:rsid w:val="007402FE"/>
    <w:rsid w:val="007407DB"/>
    <w:rsid w:val="00740AAD"/>
    <w:rsid w:val="00740E63"/>
    <w:rsid w:val="007416D4"/>
    <w:rsid w:val="0074240B"/>
    <w:rsid w:val="00742655"/>
    <w:rsid w:val="00742A51"/>
    <w:rsid w:val="00742F1D"/>
    <w:rsid w:val="00743237"/>
    <w:rsid w:val="0074487A"/>
    <w:rsid w:val="00744BB5"/>
    <w:rsid w:val="00744E0B"/>
    <w:rsid w:val="00744F95"/>
    <w:rsid w:val="00745418"/>
    <w:rsid w:val="0074577F"/>
    <w:rsid w:val="00745921"/>
    <w:rsid w:val="00746495"/>
    <w:rsid w:val="007477E2"/>
    <w:rsid w:val="00747A82"/>
    <w:rsid w:val="00750DDF"/>
    <w:rsid w:val="00750E82"/>
    <w:rsid w:val="00752F1B"/>
    <w:rsid w:val="00753127"/>
    <w:rsid w:val="00754074"/>
    <w:rsid w:val="00754124"/>
    <w:rsid w:val="007543CF"/>
    <w:rsid w:val="0075483D"/>
    <w:rsid w:val="00754853"/>
    <w:rsid w:val="007555D7"/>
    <w:rsid w:val="00755F61"/>
    <w:rsid w:val="00756370"/>
    <w:rsid w:val="007579AB"/>
    <w:rsid w:val="00757C04"/>
    <w:rsid w:val="00760196"/>
    <w:rsid w:val="00760489"/>
    <w:rsid w:val="00760559"/>
    <w:rsid w:val="00760FFB"/>
    <w:rsid w:val="007615DB"/>
    <w:rsid w:val="00761B51"/>
    <w:rsid w:val="00761FE9"/>
    <w:rsid w:val="00762BCE"/>
    <w:rsid w:val="00764499"/>
    <w:rsid w:val="0076529C"/>
    <w:rsid w:val="0076564E"/>
    <w:rsid w:val="007660A9"/>
    <w:rsid w:val="0076658C"/>
    <w:rsid w:val="00766E50"/>
    <w:rsid w:val="0076730B"/>
    <w:rsid w:val="007713B7"/>
    <w:rsid w:val="00771531"/>
    <w:rsid w:val="00772235"/>
    <w:rsid w:val="007731E5"/>
    <w:rsid w:val="00773987"/>
    <w:rsid w:val="007742F6"/>
    <w:rsid w:val="00774981"/>
    <w:rsid w:val="00774EBA"/>
    <w:rsid w:val="00775CAC"/>
    <w:rsid w:val="007761DD"/>
    <w:rsid w:val="00776853"/>
    <w:rsid w:val="00777D7F"/>
    <w:rsid w:val="00780C2A"/>
    <w:rsid w:val="00781030"/>
    <w:rsid w:val="007812D1"/>
    <w:rsid w:val="00781531"/>
    <w:rsid w:val="007827ED"/>
    <w:rsid w:val="00782FA6"/>
    <w:rsid w:val="00783792"/>
    <w:rsid w:val="0078590B"/>
    <w:rsid w:val="00786D7C"/>
    <w:rsid w:val="0078785E"/>
    <w:rsid w:val="0079022E"/>
    <w:rsid w:val="007908D6"/>
    <w:rsid w:val="00791092"/>
    <w:rsid w:val="00793F5E"/>
    <w:rsid w:val="00793FA4"/>
    <w:rsid w:val="007957C2"/>
    <w:rsid w:val="00795C03"/>
    <w:rsid w:val="00795C69"/>
    <w:rsid w:val="00796222"/>
    <w:rsid w:val="007965FC"/>
    <w:rsid w:val="007967CB"/>
    <w:rsid w:val="00797152"/>
    <w:rsid w:val="00797B00"/>
    <w:rsid w:val="007A0259"/>
    <w:rsid w:val="007A0297"/>
    <w:rsid w:val="007A05B2"/>
    <w:rsid w:val="007A10B7"/>
    <w:rsid w:val="007A1DF8"/>
    <w:rsid w:val="007A231C"/>
    <w:rsid w:val="007A295F"/>
    <w:rsid w:val="007A2B0D"/>
    <w:rsid w:val="007A308B"/>
    <w:rsid w:val="007A31FA"/>
    <w:rsid w:val="007A3405"/>
    <w:rsid w:val="007A353C"/>
    <w:rsid w:val="007A40A5"/>
    <w:rsid w:val="007A4432"/>
    <w:rsid w:val="007A4514"/>
    <w:rsid w:val="007A46FB"/>
    <w:rsid w:val="007A4B1B"/>
    <w:rsid w:val="007A52E3"/>
    <w:rsid w:val="007A5A9C"/>
    <w:rsid w:val="007A6637"/>
    <w:rsid w:val="007A6E3B"/>
    <w:rsid w:val="007A6EFD"/>
    <w:rsid w:val="007A7018"/>
    <w:rsid w:val="007B06FC"/>
    <w:rsid w:val="007B07F2"/>
    <w:rsid w:val="007B080B"/>
    <w:rsid w:val="007B2438"/>
    <w:rsid w:val="007B37B3"/>
    <w:rsid w:val="007B3D06"/>
    <w:rsid w:val="007B4B87"/>
    <w:rsid w:val="007B4E0B"/>
    <w:rsid w:val="007B5744"/>
    <w:rsid w:val="007B6709"/>
    <w:rsid w:val="007B6870"/>
    <w:rsid w:val="007B6EA9"/>
    <w:rsid w:val="007B71E1"/>
    <w:rsid w:val="007B7359"/>
    <w:rsid w:val="007B7AC4"/>
    <w:rsid w:val="007C0F70"/>
    <w:rsid w:val="007C1452"/>
    <w:rsid w:val="007C20C4"/>
    <w:rsid w:val="007C218C"/>
    <w:rsid w:val="007C249C"/>
    <w:rsid w:val="007C41EF"/>
    <w:rsid w:val="007C48BE"/>
    <w:rsid w:val="007C4C0E"/>
    <w:rsid w:val="007C55A5"/>
    <w:rsid w:val="007C5797"/>
    <w:rsid w:val="007C61E6"/>
    <w:rsid w:val="007C6672"/>
    <w:rsid w:val="007C694D"/>
    <w:rsid w:val="007C7153"/>
    <w:rsid w:val="007D0FC0"/>
    <w:rsid w:val="007D12D6"/>
    <w:rsid w:val="007D194C"/>
    <w:rsid w:val="007D19C8"/>
    <w:rsid w:val="007D2AAA"/>
    <w:rsid w:val="007D3971"/>
    <w:rsid w:val="007D4530"/>
    <w:rsid w:val="007D49A5"/>
    <w:rsid w:val="007D5DFA"/>
    <w:rsid w:val="007D6CF3"/>
    <w:rsid w:val="007D6D6D"/>
    <w:rsid w:val="007D746E"/>
    <w:rsid w:val="007D7DCC"/>
    <w:rsid w:val="007E0177"/>
    <w:rsid w:val="007E02C8"/>
    <w:rsid w:val="007E1155"/>
    <w:rsid w:val="007E1C27"/>
    <w:rsid w:val="007E2C63"/>
    <w:rsid w:val="007E2CB0"/>
    <w:rsid w:val="007E2DC6"/>
    <w:rsid w:val="007E3130"/>
    <w:rsid w:val="007E4734"/>
    <w:rsid w:val="007E49D9"/>
    <w:rsid w:val="007E5178"/>
    <w:rsid w:val="007E53C8"/>
    <w:rsid w:val="007E5AC1"/>
    <w:rsid w:val="007E5AFF"/>
    <w:rsid w:val="007E7519"/>
    <w:rsid w:val="007E79F6"/>
    <w:rsid w:val="007E7B7E"/>
    <w:rsid w:val="007F1741"/>
    <w:rsid w:val="007F226C"/>
    <w:rsid w:val="007F24F2"/>
    <w:rsid w:val="007F2EBE"/>
    <w:rsid w:val="007F2F23"/>
    <w:rsid w:val="007F301C"/>
    <w:rsid w:val="007F30CE"/>
    <w:rsid w:val="007F3E54"/>
    <w:rsid w:val="007F44DA"/>
    <w:rsid w:val="007F4715"/>
    <w:rsid w:val="007F6B99"/>
    <w:rsid w:val="007F750B"/>
    <w:rsid w:val="00800157"/>
    <w:rsid w:val="00800AD1"/>
    <w:rsid w:val="00800C9F"/>
    <w:rsid w:val="00800D04"/>
    <w:rsid w:val="00801696"/>
    <w:rsid w:val="00801DF4"/>
    <w:rsid w:val="008020F2"/>
    <w:rsid w:val="008026F6"/>
    <w:rsid w:val="00804248"/>
    <w:rsid w:val="00804358"/>
    <w:rsid w:val="00804551"/>
    <w:rsid w:val="00804863"/>
    <w:rsid w:val="00804A9F"/>
    <w:rsid w:val="00805B81"/>
    <w:rsid w:val="008064CA"/>
    <w:rsid w:val="00806E73"/>
    <w:rsid w:val="00811476"/>
    <w:rsid w:val="00811B0C"/>
    <w:rsid w:val="008122F0"/>
    <w:rsid w:val="00812391"/>
    <w:rsid w:val="008127AA"/>
    <w:rsid w:val="00814778"/>
    <w:rsid w:val="008148D3"/>
    <w:rsid w:val="00814D8B"/>
    <w:rsid w:val="00815CE1"/>
    <w:rsid w:val="008167A2"/>
    <w:rsid w:val="00816C1D"/>
    <w:rsid w:val="00817897"/>
    <w:rsid w:val="00817F03"/>
    <w:rsid w:val="008203EA"/>
    <w:rsid w:val="00820722"/>
    <w:rsid w:val="00822817"/>
    <w:rsid w:val="00822873"/>
    <w:rsid w:val="0082327E"/>
    <w:rsid w:val="0082426A"/>
    <w:rsid w:val="0082595F"/>
    <w:rsid w:val="00826173"/>
    <w:rsid w:val="008274FF"/>
    <w:rsid w:val="00827B9C"/>
    <w:rsid w:val="00831A57"/>
    <w:rsid w:val="0083203F"/>
    <w:rsid w:val="00832C9B"/>
    <w:rsid w:val="008331D5"/>
    <w:rsid w:val="0083437E"/>
    <w:rsid w:val="00834789"/>
    <w:rsid w:val="00835574"/>
    <w:rsid w:val="00835DEC"/>
    <w:rsid w:val="00836EBF"/>
    <w:rsid w:val="00842009"/>
    <w:rsid w:val="00842B64"/>
    <w:rsid w:val="00843054"/>
    <w:rsid w:val="008435E3"/>
    <w:rsid w:val="008435E5"/>
    <w:rsid w:val="008439A1"/>
    <w:rsid w:val="0084430A"/>
    <w:rsid w:val="00845B52"/>
    <w:rsid w:val="00846170"/>
    <w:rsid w:val="00846AA4"/>
    <w:rsid w:val="008477D1"/>
    <w:rsid w:val="00850BBD"/>
    <w:rsid w:val="00850CDD"/>
    <w:rsid w:val="00850F59"/>
    <w:rsid w:val="00853A44"/>
    <w:rsid w:val="00853C00"/>
    <w:rsid w:val="00853E6B"/>
    <w:rsid w:val="00853E90"/>
    <w:rsid w:val="00854ADE"/>
    <w:rsid w:val="00855B87"/>
    <w:rsid w:val="0085601A"/>
    <w:rsid w:val="008562DE"/>
    <w:rsid w:val="00857025"/>
    <w:rsid w:val="00857333"/>
    <w:rsid w:val="0086012C"/>
    <w:rsid w:val="008616C7"/>
    <w:rsid w:val="0086288F"/>
    <w:rsid w:val="00863666"/>
    <w:rsid w:val="00863F27"/>
    <w:rsid w:val="00863F53"/>
    <w:rsid w:val="0086555E"/>
    <w:rsid w:val="00865ED7"/>
    <w:rsid w:val="0086677B"/>
    <w:rsid w:val="00866A14"/>
    <w:rsid w:val="0086765B"/>
    <w:rsid w:val="00867872"/>
    <w:rsid w:val="00867C69"/>
    <w:rsid w:val="0087020D"/>
    <w:rsid w:val="0087174D"/>
    <w:rsid w:val="00871F30"/>
    <w:rsid w:val="00872322"/>
    <w:rsid w:val="00872C8D"/>
    <w:rsid w:val="008734BF"/>
    <w:rsid w:val="00873637"/>
    <w:rsid w:val="00874570"/>
    <w:rsid w:val="00874FC7"/>
    <w:rsid w:val="00875416"/>
    <w:rsid w:val="008757AA"/>
    <w:rsid w:val="00875B35"/>
    <w:rsid w:val="00876269"/>
    <w:rsid w:val="00876641"/>
    <w:rsid w:val="008766B2"/>
    <w:rsid w:val="00876D30"/>
    <w:rsid w:val="00880FBA"/>
    <w:rsid w:val="008810FB"/>
    <w:rsid w:val="00881448"/>
    <w:rsid w:val="00881FF0"/>
    <w:rsid w:val="008827D2"/>
    <w:rsid w:val="00882C88"/>
    <w:rsid w:val="00883F81"/>
    <w:rsid w:val="0088561E"/>
    <w:rsid w:val="00887A7A"/>
    <w:rsid w:val="00887CD4"/>
    <w:rsid w:val="00887DFA"/>
    <w:rsid w:val="008901A1"/>
    <w:rsid w:val="00890547"/>
    <w:rsid w:val="00890724"/>
    <w:rsid w:val="00890912"/>
    <w:rsid w:val="00890DC4"/>
    <w:rsid w:val="008910C1"/>
    <w:rsid w:val="00891B3D"/>
    <w:rsid w:val="00891B44"/>
    <w:rsid w:val="00891D6D"/>
    <w:rsid w:val="00891F11"/>
    <w:rsid w:val="00892CEA"/>
    <w:rsid w:val="00893013"/>
    <w:rsid w:val="008937AD"/>
    <w:rsid w:val="00893FF8"/>
    <w:rsid w:val="00893FF9"/>
    <w:rsid w:val="008945D5"/>
    <w:rsid w:val="00894CC4"/>
    <w:rsid w:val="00895643"/>
    <w:rsid w:val="00896605"/>
    <w:rsid w:val="008967AB"/>
    <w:rsid w:val="00897050"/>
    <w:rsid w:val="00897594"/>
    <w:rsid w:val="008A0277"/>
    <w:rsid w:val="008A1634"/>
    <w:rsid w:val="008A1F77"/>
    <w:rsid w:val="008A1F7E"/>
    <w:rsid w:val="008A2D72"/>
    <w:rsid w:val="008A3AB5"/>
    <w:rsid w:val="008A4021"/>
    <w:rsid w:val="008A4A9D"/>
    <w:rsid w:val="008A558D"/>
    <w:rsid w:val="008A610C"/>
    <w:rsid w:val="008A688C"/>
    <w:rsid w:val="008A694C"/>
    <w:rsid w:val="008A75ED"/>
    <w:rsid w:val="008A7C0A"/>
    <w:rsid w:val="008A7C5E"/>
    <w:rsid w:val="008B11E3"/>
    <w:rsid w:val="008B12A0"/>
    <w:rsid w:val="008B1634"/>
    <w:rsid w:val="008B2802"/>
    <w:rsid w:val="008B40BC"/>
    <w:rsid w:val="008B4A76"/>
    <w:rsid w:val="008B5463"/>
    <w:rsid w:val="008B67F8"/>
    <w:rsid w:val="008B734B"/>
    <w:rsid w:val="008B7450"/>
    <w:rsid w:val="008C09FC"/>
    <w:rsid w:val="008C102D"/>
    <w:rsid w:val="008C1BF4"/>
    <w:rsid w:val="008C2465"/>
    <w:rsid w:val="008C27BF"/>
    <w:rsid w:val="008C2D4C"/>
    <w:rsid w:val="008C30D0"/>
    <w:rsid w:val="008C3A16"/>
    <w:rsid w:val="008C41C8"/>
    <w:rsid w:val="008C4259"/>
    <w:rsid w:val="008C4F27"/>
    <w:rsid w:val="008C6703"/>
    <w:rsid w:val="008C6723"/>
    <w:rsid w:val="008C7936"/>
    <w:rsid w:val="008C7F4B"/>
    <w:rsid w:val="008D43CD"/>
    <w:rsid w:val="008D47C4"/>
    <w:rsid w:val="008D47DD"/>
    <w:rsid w:val="008D4CC3"/>
    <w:rsid w:val="008D4E2A"/>
    <w:rsid w:val="008D6C3E"/>
    <w:rsid w:val="008D6CAF"/>
    <w:rsid w:val="008D7C87"/>
    <w:rsid w:val="008E01E8"/>
    <w:rsid w:val="008E0E3F"/>
    <w:rsid w:val="008E24C0"/>
    <w:rsid w:val="008E2866"/>
    <w:rsid w:val="008E2E65"/>
    <w:rsid w:val="008E3904"/>
    <w:rsid w:val="008E3AF4"/>
    <w:rsid w:val="008E4534"/>
    <w:rsid w:val="008E59C9"/>
    <w:rsid w:val="008E5CB4"/>
    <w:rsid w:val="008E5DE8"/>
    <w:rsid w:val="008E636D"/>
    <w:rsid w:val="008E719F"/>
    <w:rsid w:val="008E7306"/>
    <w:rsid w:val="008F01AD"/>
    <w:rsid w:val="008F06CF"/>
    <w:rsid w:val="008F18D8"/>
    <w:rsid w:val="008F30B5"/>
    <w:rsid w:val="008F329F"/>
    <w:rsid w:val="008F34E6"/>
    <w:rsid w:val="008F415A"/>
    <w:rsid w:val="008F4203"/>
    <w:rsid w:val="008F4354"/>
    <w:rsid w:val="008F4C36"/>
    <w:rsid w:val="008F4C55"/>
    <w:rsid w:val="008F6140"/>
    <w:rsid w:val="008F637D"/>
    <w:rsid w:val="008F69CA"/>
    <w:rsid w:val="008F7C1C"/>
    <w:rsid w:val="00900826"/>
    <w:rsid w:val="00902230"/>
    <w:rsid w:val="00902B17"/>
    <w:rsid w:val="00903398"/>
    <w:rsid w:val="00903ED9"/>
    <w:rsid w:val="00904CAA"/>
    <w:rsid w:val="00905C21"/>
    <w:rsid w:val="009066A4"/>
    <w:rsid w:val="009076DD"/>
    <w:rsid w:val="00907A8A"/>
    <w:rsid w:val="00907AC5"/>
    <w:rsid w:val="009103D0"/>
    <w:rsid w:val="00910940"/>
    <w:rsid w:val="00910F7E"/>
    <w:rsid w:val="0091221D"/>
    <w:rsid w:val="00912354"/>
    <w:rsid w:val="00912AFB"/>
    <w:rsid w:val="009140EE"/>
    <w:rsid w:val="009145BE"/>
    <w:rsid w:val="00914795"/>
    <w:rsid w:val="00914943"/>
    <w:rsid w:val="009158EB"/>
    <w:rsid w:val="00915B89"/>
    <w:rsid w:val="00916684"/>
    <w:rsid w:val="009166B5"/>
    <w:rsid w:val="009169A5"/>
    <w:rsid w:val="009175DE"/>
    <w:rsid w:val="00917F3A"/>
    <w:rsid w:val="009200DB"/>
    <w:rsid w:val="0092049C"/>
    <w:rsid w:val="00921909"/>
    <w:rsid w:val="00921B7E"/>
    <w:rsid w:val="009228AC"/>
    <w:rsid w:val="00924E01"/>
    <w:rsid w:val="009254A8"/>
    <w:rsid w:val="009255EE"/>
    <w:rsid w:val="00925AC7"/>
    <w:rsid w:val="009269CB"/>
    <w:rsid w:val="00926A6A"/>
    <w:rsid w:val="009275E8"/>
    <w:rsid w:val="00927771"/>
    <w:rsid w:val="009278C6"/>
    <w:rsid w:val="00930AAF"/>
    <w:rsid w:val="00930C70"/>
    <w:rsid w:val="00930C9B"/>
    <w:rsid w:val="00931E9A"/>
    <w:rsid w:val="00932DCF"/>
    <w:rsid w:val="00932EF2"/>
    <w:rsid w:val="009330A9"/>
    <w:rsid w:val="0093361C"/>
    <w:rsid w:val="0093399F"/>
    <w:rsid w:val="00934542"/>
    <w:rsid w:val="0093461F"/>
    <w:rsid w:val="009350AF"/>
    <w:rsid w:val="00936459"/>
    <w:rsid w:val="00936908"/>
    <w:rsid w:val="00937249"/>
    <w:rsid w:val="0094130D"/>
    <w:rsid w:val="00941677"/>
    <w:rsid w:val="00941E45"/>
    <w:rsid w:val="0094236F"/>
    <w:rsid w:val="009429D2"/>
    <w:rsid w:val="00942D82"/>
    <w:rsid w:val="00942DC0"/>
    <w:rsid w:val="009439CB"/>
    <w:rsid w:val="00943C96"/>
    <w:rsid w:val="009444FC"/>
    <w:rsid w:val="0094478C"/>
    <w:rsid w:val="00945BD4"/>
    <w:rsid w:val="00945DE8"/>
    <w:rsid w:val="0094634C"/>
    <w:rsid w:val="009475D6"/>
    <w:rsid w:val="009476B5"/>
    <w:rsid w:val="00947A29"/>
    <w:rsid w:val="0095032D"/>
    <w:rsid w:val="00950AEC"/>
    <w:rsid w:val="00951766"/>
    <w:rsid w:val="00952401"/>
    <w:rsid w:val="009530C2"/>
    <w:rsid w:val="009532EA"/>
    <w:rsid w:val="0095345F"/>
    <w:rsid w:val="009542D1"/>
    <w:rsid w:val="00954738"/>
    <w:rsid w:val="009551F5"/>
    <w:rsid w:val="00955614"/>
    <w:rsid w:val="00955892"/>
    <w:rsid w:val="009558F6"/>
    <w:rsid w:val="00956DC2"/>
    <w:rsid w:val="00956F4E"/>
    <w:rsid w:val="0095789A"/>
    <w:rsid w:val="00957DDD"/>
    <w:rsid w:val="0096059F"/>
    <w:rsid w:val="00961D5A"/>
    <w:rsid w:val="00962A2C"/>
    <w:rsid w:val="00962BF1"/>
    <w:rsid w:val="009630CC"/>
    <w:rsid w:val="00963673"/>
    <w:rsid w:val="00963FEE"/>
    <w:rsid w:val="00964412"/>
    <w:rsid w:val="00964CC3"/>
    <w:rsid w:val="00965C7D"/>
    <w:rsid w:val="00965DF8"/>
    <w:rsid w:val="00966308"/>
    <w:rsid w:val="00966F67"/>
    <w:rsid w:val="00967CF0"/>
    <w:rsid w:val="00970A43"/>
    <w:rsid w:val="00970BFD"/>
    <w:rsid w:val="009711D4"/>
    <w:rsid w:val="0097122A"/>
    <w:rsid w:val="009718AD"/>
    <w:rsid w:val="009735E8"/>
    <w:rsid w:val="00973636"/>
    <w:rsid w:val="00973E34"/>
    <w:rsid w:val="009740AB"/>
    <w:rsid w:val="009740DB"/>
    <w:rsid w:val="0097528F"/>
    <w:rsid w:val="0097565D"/>
    <w:rsid w:val="00976C86"/>
    <w:rsid w:val="009775FB"/>
    <w:rsid w:val="00980F3E"/>
    <w:rsid w:val="00981372"/>
    <w:rsid w:val="0098233E"/>
    <w:rsid w:val="00983A27"/>
    <w:rsid w:val="00983E59"/>
    <w:rsid w:val="00984B3B"/>
    <w:rsid w:val="00984EDE"/>
    <w:rsid w:val="00984F4E"/>
    <w:rsid w:val="00985469"/>
    <w:rsid w:val="0098581C"/>
    <w:rsid w:val="00985862"/>
    <w:rsid w:val="0098717B"/>
    <w:rsid w:val="009872B9"/>
    <w:rsid w:val="00987529"/>
    <w:rsid w:val="009903E0"/>
    <w:rsid w:val="009909F7"/>
    <w:rsid w:val="00992BF2"/>
    <w:rsid w:val="00992EAF"/>
    <w:rsid w:val="0099316C"/>
    <w:rsid w:val="009934C9"/>
    <w:rsid w:val="00993E2A"/>
    <w:rsid w:val="0099426A"/>
    <w:rsid w:val="00994DB8"/>
    <w:rsid w:val="009955D6"/>
    <w:rsid w:val="00996D69"/>
    <w:rsid w:val="00996DE8"/>
    <w:rsid w:val="009A0D42"/>
    <w:rsid w:val="009A1422"/>
    <w:rsid w:val="009A1656"/>
    <w:rsid w:val="009A1DBD"/>
    <w:rsid w:val="009A1DEC"/>
    <w:rsid w:val="009A2118"/>
    <w:rsid w:val="009A2EB7"/>
    <w:rsid w:val="009A3481"/>
    <w:rsid w:val="009A36CF"/>
    <w:rsid w:val="009A4056"/>
    <w:rsid w:val="009A4A2B"/>
    <w:rsid w:val="009A55C3"/>
    <w:rsid w:val="009A6600"/>
    <w:rsid w:val="009A68DE"/>
    <w:rsid w:val="009A6EB3"/>
    <w:rsid w:val="009A7ADB"/>
    <w:rsid w:val="009A7BD3"/>
    <w:rsid w:val="009B0D99"/>
    <w:rsid w:val="009B120C"/>
    <w:rsid w:val="009B2847"/>
    <w:rsid w:val="009B2D18"/>
    <w:rsid w:val="009B30DD"/>
    <w:rsid w:val="009B37E2"/>
    <w:rsid w:val="009B3AB8"/>
    <w:rsid w:val="009B4096"/>
    <w:rsid w:val="009B41EB"/>
    <w:rsid w:val="009B4E93"/>
    <w:rsid w:val="009B63E5"/>
    <w:rsid w:val="009B6C45"/>
    <w:rsid w:val="009C1600"/>
    <w:rsid w:val="009C1EFF"/>
    <w:rsid w:val="009C1F67"/>
    <w:rsid w:val="009C3765"/>
    <w:rsid w:val="009C4375"/>
    <w:rsid w:val="009C47EF"/>
    <w:rsid w:val="009C492D"/>
    <w:rsid w:val="009C4C4C"/>
    <w:rsid w:val="009C5922"/>
    <w:rsid w:val="009C5FC6"/>
    <w:rsid w:val="009C6DD1"/>
    <w:rsid w:val="009C72C3"/>
    <w:rsid w:val="009C72E5"/>
    <w:rsid w:val="009C7E2F"/>
    <w:rsid w:val="009D1114"/>
    <w:rsid w:val="009D1DF6"/>
    <w:rsid w:val="009D2FD8"/>
    <w:rsid w:val="009D3AC5"/>
    <w:rsid w:val="009D3F45"/>
    <w:rsid w:val="009D42C7"/>
    <w:rsid w:val="009D48F8"/>
    <w:rsid w:val="009D4E04"/>
    <w:rsid w:val="009D4FBB"/>
    <w:rsid w:val="009D69C2"/>
    <w:rsid w:val="009D6F1F"/>
    <w:rsid w:val="009D7127"/>
    <w:rsid w:val="009D744A"/>
    <w:rsid w:val="009E0398"/>
    <w:rsid w:val="009E07EC"/>
    <w:rsid w:val="009E1348"/>
    <w:rsid w:val="009E34D7"/>
    <w:rsid w:val="009E40E3"/>
    <w:rsid w:val="009E43D6"/>
    <w:rsid w:val="009E522D"/>
    <w:rsid w:val="009E540B"/>
    <w:rsid w:val="009E7D78"/>
    <w:rsid w:val="009F14BA"/>
    <w:rsid w:val="009F18AF"/>
    <w:rsid w:val="009F328D"/>
    <w:rsid w:val="009F328F"/>
    <w:rsid w:val="009F3D39"/>
    <w:rsid w:val="009F3D58"/>
    <w:rsid w:val="009F43A8"/>
    <w:rsid w:val="009F569F"/>
    <w:rsid w:val="009F5D53"/>
    <w:rsid w:val="009F6369"/>
    <w:rsid w:val="009F678C"/>
    <w:rsid w:val="009F6CC9"/>
    <w:rsid w:val="009F7079"/>
    <w:rsid w:val="009F792A"/>
    <w:rsid w:val="009F7B3B"/>
    <w:rsid w:val="009F7EE5"/>
    <w:rsid w:val="00A02CE2"/>
    <w:rsid w:val="00A02E3F"/>
    <w:rsid w:val="00A03C7D"/>
    <w:rsid w:val="00A0425B"/>
    <w:rsid w:val="00A042F0"/>
    <w:rsid w:val="00A046F4"/>
    <w:rsid w:val="00A049AF"/>
    <w:rsid w:val="00A077FF"/>
    <w:rsid w:val="00A11C49"/>
    <w:rsid w:val="00A11FC6"/>
    <w:rsid w:val="00A1242F"/>
    <w:rsid w:val="00A13D0B"/>
    <w:rsid w:val="00A13DE5"/>
    <w:rsid w:val="00A14055"/>
    <w:rsid w:val="00A14606"/>
    <w:rsid w:val="00A15F2F"/>
    <w:rsid w:val="00A173A2"/>
    <w:rsid w:val="00A1750A"/>
    <w:rsid w:val="00A20593"/>
    <w:rsid w:val="00A205E8"/>
    <w:rsid w:val="00A20691"/>
    <w:rsid w:val="00A2116F"/>
    <w:rsid w:val="00A21D63"/>
    <w:rsid w:val="00A22A05"/>
    <w:rsid w:val="00A23793"/>
    <w:rsid w:val="00A23BF5"/>
    <w:rsid w:val="00A244EC"/>
    <w:rsid w:val="00A24C50"/>
    <w:rsid w:val="00A2628F"/>
    <w:rsid w:val="00A2792A"/>
    <w:rsid w:val="00A27F7C"/>
    <w:rsid w:val="00A3011F"/>
    <w:rsid w:val="00A317F4"/>
    <w:rsid w:val="00A32D1B"/>
    <w:rsid w:val="00A355AE"/>
    <w:rsid w:val="00A35FE3"/>
    <w:rsid w:val="00A36E55"/>
    <w:rsid w:val="00A373A7"/>
    <w:rsid w:val="00A373F9"/>
    <w:rsid w:val="00A37803"/>
    <w:rsid w:val="00A3792F"/>
    <w:rsid w:val="00A40964"/>
    <w:rsid w:val="00A40AAB"/>
    <w:rsid w:val="00A41159"/>
    <w:rsid w:val="00A422CB"/>
    <w:rsid w:val="00A43859"/>
    <w:rsid w:val="00A44B98"/>
    <w:rsid w:val="00A45966"/>
    <w:rsid w:val="00A460D4"/>
    <w:rsid w:val="00A46D99"/>
    <w:rsid w:val="00A4728B"/>
    <w:rsid w:val="00A47562"/>
    <w:rsid w:val="00A5004C"/>
    <w:rsid w:val="00A50AC6"/>
    <w:rsid w:val="00A51ED4"/>
    <w:rsid w:val="00A5237F"/>
    <w:rsid w:val="00A52ABB"/>
    <w:rsid w:val="00A53674"/>
    <w:rsid w:val="00A54A10"/>
    <w:rsid w:val="00A56A86"/>
    <w:rsid w:val="00A57065"/>
    <w:rsid w:val="00A579FF"/>
    <w:rsid w:val="00A57B50"/>
    <w:rsid w:val="00A57F9F"/>
    <w:rsid w:val="00A6065B"/>
    <w:rsid w:val="00A61670"/>
    <w:rsid w:val="00A617A5"/>
    <w:rsid w:val="00A62839"/>
    <w:rsid w:val="00A62CAD"/>
    <w:rsid w:val="00A63930"/>
    <w:rsid w:val="00A63BFD"/>
    <w:rsid w:val="00A640CC"/>
    <w:rsid w:val="00A6425D"/>
    <w:rsid w:val="00A6437A"/>
    <w:rsid w:val="00A65671"/>
    <w:rsid w:val="00A65A9D"/>
    <w:rsid w:val="00A66971"/>
    <w:rsid w:val="00A671E2"/>
    <w:rsid w:val="00A67761"/>
    <w:rsid w:val="00A67A88"/>
    <w:rsid w:val="00A67E76"/>
    <w:rsid w:val="00A712C7"/>
    <w:rsid w:val="00A71912"/>
    <w:rsid w:val="00A71C48"/>
    <w:rsid w:val="00A71D35"/>
    <w:rsid w:val="00A7244D"/>
    <w:rsid w:val="00A73CB5"/>
    <w:rsid w:val="00A744EA"/>
    <w:rsid w:val="00A748F1"/>
    <w:rsid w:val="00A74CE4"/>
    <w:rsid w:val="00A75C86"/>
    <w:rsid w:val="00A766C4"/>
    <w:rsid w:val="00A76767"/>
    <w:rsid w:val="00A76DF1"/>
    <w:rsid w:val="00A76E98"/>
    <w:rsid w:val="00A771DE"/>
    <w:rsid w:val="00A77588"/>
    <w:rsid w:val="00A80697"/>
    <w:rsid w:val="00A80FB7"/>
    <w:rsid w:val="00A815D8"/>
    <w:rsid w:val="00A81828"/>
    <w:rsid w:val="00A81E05"/>
    <w:rsid w:val="00A8200B"/>
    <w:rsid w:val="00A823C5"/>
    <w:rsid w:val="00A83868"/>
    <w:rsid w:val="00A838A2"/>
    <w:rsid w:val="00A84522"/>
    <w:rsid w:val="00A8585D"/>
    <w:rsid w:val="00A85B95"/>
    <w:rsid w:val="00A860B7"/>
    <w:rsid w:val="00A86365"/>
    <w:rsid w:val="00A86635"/>
    <w:rsid w:val="00A86C53"/>
    <w:rsid w:val="00A90100"/>
    <w:rsid w:val="00A9034C"/>
    <w:rsid w:val="00A90FCC"/>
    <w:rsid w:val="00A9143B"/>
    <w:rsid w:val="00A91FB5"/>
    <w:rsid w:val="00A928EC"/>
    <w:rsid w:val="00A94445"/>
    <w:rsid w:val="00A94EA5"/>
    <w:rsid w:val="00A959F9"/>
    <w:rsid w:val="00A95CE9"/>
    <w:rsid w:val="00A960A8"/>
    <w:rsid w:val="00A96F59"/>
    <w:rsid w:val="00A9714E"/>
    <w:rsid w:val="00A97534"/>
    <w:rsid w:val="00A97839"/>
    <w:rsid w:val="00A97C3E"/>
    <w:rsid w:val="00A97CA8"/>
    <w:rsid w:val="00AA2073"/>
    <w:rsid w:val="00AA25D5"/>
    <w:rsid w:val="00AA2A73"/>
    <w:rsid w:val="00AA2C9B"/>
    <w:rsid w:val="00AA2FA7"/>
    <w:rsid w:val="00AA3D45"/>
    <w:rsid w:val="00AA3F40"/>
    <w:rsid w:val="00AA4550"/>
    <w:rsid w:val="00AA51BA"/>
    <w:rsid w:val="00AA52AA"/>
    <w:rsid w:val="00AA5FBE"/>
    <w:rsid w:val="00AA6FD5"/>
    <w:rsid w:val="00AA7304"/>
    <w:rsid w:val="00AA78F2"/>
    <w:rsid w:val="00AB0425"/>
    <w:rsid w:val="00AB21FE"/>
    <w:rsid w:val="00AB26A1"/>
    <w:rsid w:val="00AB3079"/>
    <w:rsid w:val="00AB30A3"/>
    <w:rsid w:val="00AB381A"/>
    <w:rsid w:val="00AB3997"/>
    <w:rsid w:val="00AB3DB4"/>
    <w:rsid w:val="00AB4487"/>
    <w:rsid w:val="00AB46A2"/>
    <w:rsid w:val="00AB4B31"/>
    <w:rsid w:val="00AB4E85"/>
    <w:rsid w:val="00AB5406"/>
    <w:rsid w:val="00AB57DA"/>
    <w:rsid w:val="00AB587B"/>
    <w:rsid w:val="00AB5E27"/>
    <w:rsid w:val="00AB6F83"/>
    <w:rsid w:val="00AB7925"/>
    <w:rsid w:val="00AB7AE2"/>
    <w:rsid w:val="00AB7E0F"/>
    <w:rsid w:val="00AC00CD"/>
    <w:rsid w:val="00AC04AD"/>
    <w:rsid w:val="00AC17F9"/>
    <w:rsid w:val="00AC1870"/>
    <w:rsid w:val="00AC2FB3"/>
    <w:rsid w:val="00AC2FEF"/>
    <w:rsid w:val="00AC3225"/>
    <w:rsid w:val="00AC39E3"/>
    <w:rsid w:val="00AC42D2"/>
    <w:rsid w:val="00AC48B4"/>
    <w:rsid w:val="00AC5AB9"/>
    <w:rsid w:val="00AC6EB4"/>
    <w:rsid w:val="00AC7032"/>
    <w:rsid w:val="00AD1F16"/>
    <w:rsid w:val="00AD370B"/>
    <w:rsid w:val="00AD5066"/>
    <w:rsid w:val="00AD6005"/>
    <w:rsid w:val="00AD67FB"/>
    <w:rsid w:val="00AD6A44"/>
    <w:rsid w:val="00AD71C4"/>
    <w:rsid w:val="00AE0552"/>
    <w:rsid w:val="00AE26E8"/>
    <w:rsid w:val="00AE3215"/>
    <w:rsid w:val="00AE3C00"/>
    <w:rsid w:val="00AE3CF5"/>
    <w:rsid w:val="00AE3EF7"/>
    <w:rsid w:val="00AE405E"/>
    <w:rsid w:val="00AE4E03"/>
    <w:rsid w:val="00AE4E39"/>
    <w:rsid w:val="00AE4E43"/>
    <w:rsid w:val="00AE5975"/>
    <w:rsid w:val="00AE5EEE"/>
    <w:rsid w:val="00AE704E"/>
    <w:rsid w:val="00AF09F0"/>
    <w:rsid w:val="00AF1FB0"/>
    <w:rsid w:val="00AF2ACC"/>
    <w:rsid w:val="00AF31E4"/>
    <w:rsid w:val="00AF3447"/>
    <w:rsid w:val="00AF3982"/>
    <w:rsid w:val="00AF444A"/>
    <w:rsid w:val="00AF5A18"/>
    <w:rsid w:val="00AF5D49"/>
    <w:rsid w:val="00AF62DF"/>
    <w:rsid w:val="00AF70B8"/>
    <w:rsid w:val="00B000FE"/>
    <w:rsid w:val="00B00148"/>
    <w:rsid w:val="00B01B0F"/>
    <w:rsid w:val="00B02488"/>
    <w:rsid w:val="00B028D8"/>
    <w:rsid w:val="00B0295A"/>
    <w:rsid w:val="00B04277"/>
    <w:rsid w:val="00B047BD"/>
    <w:rsid w:val="00B1092F"/>
    <w:rsid w:val="00B11B5F"/>
    <w:rsid w:val="00B12302"/>
    <w:rsid w:val="00B128D7"/>
    <w:rsid w:val="00B12B0D"/>
    <w:rsid w:val="00B13391"/>
    <w:rsid w:val="00B13657"/>
    <w:rsid w:val="00B149AA"/>
    <w:rsid w:val="00B14B3B"/>
    <w:rsid w:val="00B1642E"/>
    <w:rsid w:val="00B16EF4"/>
    <w:rsid w:val="00B16F0B"/>
    <w:rsid w:val="00B17B60"/>
    <w:rsid w:val="00B17E12"/>
    <w:rsid w:val="00B2067C"/>
    <w:rsid w:val="00B20AF1"/>
    <w:rsid w:val="00B20B09"/>
    <w:rsid w:val="00B20BC0"/>
    <w:rsid w:val="00B215D0"/>
    <w:rsid w:val="00B21AC6"/>
    <w:rsid w:val="00B21C1D"/>
    <w:rsid w:val="00B223FE"/>
    <w:rsid w:val="00B23B27"/>
    <w:rsid w:val="00B23EB4"/>
    <w:rsid w:val="00B23F7A"/>
    <w:rsid w:val="00B24736"/>
    <w:rsid w:val="00B247BB"/>
    <w:rsid w:val="00B24E68"/>
    <w:rsid w:val="00B256DE"/>
    <w:rsid w:val="00B25714"/>
    <w:rsid w:val="00B26415"/>
    <w:rsid w:val="00B271E4"/>
    <w:rsid w:val="00B30B23"/>
    <w:rsid w:val="00B31595"/>
    <w:rsid w:val="00B31B57"/>
    <w:rsid w:val="00B34331"/>
    <w:rsid w:val="00B3441E"/>
    <w:rsid w:val="00B3444A"/>
    <w:rsid w:val="00B345B2"/>
    <w:rsid w:val="00B346BC"/>
    <w:rsid w:val="00B35B69"/>
    <w:rsid w:val="00B36340"/>
    <w:rsid w:val="00B376B7"/>
    <w:rsid w:val="00B40796"/>
    <w:rsid w:val="00B4180F"/>
    <w:rsid w:val="00B41A59"/>
    <w:rsid w:val="00B42107"/>
    <w:rsid w:val="00B421C9"/>
    <w:rsid w:val="00B4270E"/>
    <w:rsid w:val="00B42B71"/>
    <w:rsid w:val="00B4657F"/>
    <w:rsid w:val="00B465B1"/>
    <w:rsid w:val="00B46737"/>
    <w:rsid w:val="00B4733D"/>
    <w:rsid w:val="00B501DF"/>
    <w:rsid w:val="00B518E5"/>
    <w:rsid w:val="00B51BB4"/>
    <w:rsid w:val="00B51F16"/>
    <w:rsid w:val="00B53872"/>
    <w:rsid w:val="00B5430A"/>
    <w:rsid w:val="00B54654"/>
    <w:rsid w:val="00B54759"/>
    <w:rsid w:val="00B55015"/>
    <w:rsid w:val="00B55C85"/>
    <w:rsid w:val="00B56656"/>
    <w:rsid w:val="00B56E60"/>
    <w:rsid w:val="00B56FDE"/>
    <w:rsid w:val="00B577BF"/>
    <w:rsid w:val="00B578D3"/>
    <w:rsid w:val="00B57BF3"/>
    <w:rsid w:val="00B6037A"/>
    <w:rsid w:val="00B60739"/>
    <w:rsid w:val="00B60927"/>
    <w:rsid w:val="00B61405"/>
    <w:rsid w:val="00B62134"/>
    <w:rsid w:val="00B6228D"/>
    <w:rsid w:val="00B624F5"/>
    <w:rsid w:val="00B626C6"/>
    <w:rsid w:val="00B62BF3"/>
    <w:rsid w:val="00B635A4"/>
    <w:rsid w:val="00B64470"/>
    <w:rsid w:val="00B6565B"/>
    <w:rsid w:val="00B65DC8"/>
    <w:rsid w:val="00B66672"/>
    <w:rsid w:val="00B66EB0"/>
    <w:rsid w:val="00B67118"/>
    <w:rsid w:val="00B67393"/>
    <w:rsid w:val="00B67BF2"/>
    <w:rsid w:val="00B71558"/>
    <w:rsid w:val="00B71B75"/>
    <w:rsid w:val="00B71ED0"/>
    <w:rsid w:val="00B7243D"/>
    <w:rsid w:val="00B72B4E"/>
    <w:rsid w:val="00B7355F"/>
    <w:rsid w:val="00B750CA"/>
    <w:rsid w:val="00B7663F"/>
    <w:rsid w:val="00B779AF"/>
    <w:rsid w:val="00B8063C"/>
    <w:rsid w:val="00B824C6"/>
    <w:rsid w:val="00B8252C"/>
    <w:rsid w:val="00B82E17"/>
    <w:rsid w:val="00B83B09"/>
    <w:rsid w:val="00B84670"/>
    <w:rsid w:val="00B846BE"/>
    <w:rsid w:val="00B84B9B"/>
    <w:rsid w:val="00B84D08"/>
    <w:rsid w:val="00B84ED8"/>
    <w:rsid w:val="00B85420"/>
    <w:rsid w:val="00B85664"/>
    <w:rsid w:val="00B85FC2"/>
    <w:rsid w:val="00B86967"/>
    <w:rsid w:val="00B86B4D"/>
    <w:rsid w:val="00B87071"/>
    <w:rsid w:val="00B87390"/>
    <w:rsid w:val="00B87AF4"/>
    <w:rsid w:val="00B901EB"/>
    <w:rsid w:val="00B91EEA"/>
    <w:rsid w:val="00B9320C"/>
    <w:rsid w:val="00B933B2"/>
    <w:rsid w:val="00B938D7"/>
    <w:rsid w:val="00B93E9B"/>
    <w:rsid w:val="00B94530"/>
    <w:rsid w:val="00B94C8F"/>
    <w:rsid w:val="00B94F62"/>
    <w:rsid w:val="00B950AD"/>
    <w:rsid w:val="00BA012F"/>
    <w:rsid w:val="00BA0203"/>
    <w:rsid w:val="00BA07BA"/>
    <w:rsid w:val="00BA1093"/>
    <w:rsid w:val="00BA10F8"/>
    <w:rsid w:val="00BA122D"/>
    <w:rsid w:val="00BA18B4"/>
    <w:rsid w:val="00BA27F1"/>
    <w:rsid w:val="00BA3763"/>
    <w:rsid w:val="00BA3E7C"/>
    <w:rsid w:val="00BA47D4"/>
    <w:rsid w:val="00BA51DE"/>
    <w:rsid w:val="00BA785C"/>
    <w:rsid w:val="00BB06FE"/>
    <w:rsid w:val="00BB0C2A"/>
    <w:rsid w:val="00BB17FD"/>
    <w:rsid w:val="00BB1950"/>
    <w:rsid w:val="00BB229E"/>
    <w:rsid w:val="00BB2390"/>
    <w:rsid w:val="00BB3240"/>
    <w:rsid w:val="00BB4870"/>
    <w:rsid w:val="00BB4DA9"/>
    <w:rsid w:val="00BB4F31"/>
    <w:rsid w:val="00BB52C5"/>
    <w:rsid w:val="00BB59A8"/>
    <w:rsid w:val="00BB5FFB"/>
    <w:rsid w:val="00BB69E8"/>
    <w:rsid w:val="00BB722F"/>
    <w:rsid w:val="00BB75B5"/>
    <w:rsid w:val="00BC0575"/>
    <w:rsid w:val="00BC2D2F"/>
    <w:rsid w:val="00BC385D"/>
    <w:rsid w:val="00BC44D7"/>
    <w:rsid w:val="00BC4A76"/>
    <w:rsid w:val="00BC51AB"/>
    <w:rsid w:val="00BC614B"/>
    <w:rsid w:val="00BC74BF"/>
    <w:rsid w:val="00BC771D"/>
    <w:rsid w:val="00BC7AA7"/>
    <w:rsid w:val="00BC7B11"/>
    <w:rsid w:val="00BD0D60"/>
    <w:rsid w:val="00BD0D79"/>
    <w:rsid w:val="00BD18A0"/>
    <w:rsid w:val="00BD226D"/>
    <w:rsid w:val="00BD2434"/>
    <w:rsid w:val="00BD3144"/>
    <w:rsid w:val="00BD4009"/>
    <w:rsid w:val="00BD5539"/>
    <w:rsid w:val="00BD7585"/>
    <w:rsid w:val="00BE0B52"/>
    <w:rsid w:val="00BE0D0B"/>
    <w:rsid w:val="00BE1685"/>
    <w:rsid w:val="00BE2F76"/>
    <w:rsid w:val="00BE30C0"/>
    <w:rsid w:val="00BE510D"/>
    <w:rsid w:val="00BE52B8"/>
    <w:rsid w:val="00BE5D4B"/>
    <w:rsid w:val="00BE6C8B"/>
    <w:rsid w:val="00BF011B"/>
    <w:rsid w:val="00BF0286"/>
    <w:rsid w:val="00BF048E"/>
    <w:rsid w:val="00BF1078"/>
    <w:rsid w:val="00BF1693"/>
    <w:rsid w:val="00BF1A09"/>
    <w:rsid w:val="00BF1FBA"/>
    <w:rsid w:val="00BF2BBA"/>
    <w:rsid w:val="00BF3097"/>
    <w:rsid w:val="00BF4805"/>
    <w:rsid w:val="00BF4CD9"/>
    <w:rsid w:val="00BF52C1"/>
    <w:rsid w:val="00BF6A66"/>
    <w:rsid w:val="00BF754B"/>
    <w:rsid w:val="00C0004C"/>
    <w:rsid w:val="00C001F4"/>
    <w:rsid w:val="00C00609"/>
    <w:rsid w:val="00C00EE7"/>
    <w:rsid w:val="00C01C46"/>
    <w:rsid w:val="00C01D8F"/>
    <w:rsid w:val="00C02229"/>
    <w:rsid w:val="00C03F56"/>
    <w:rsid w:val="00C06709"/>
    <w:rsid w:val="00C06C1A"/>
    <w:rsid w:val="00C06E0A"/>
    <w:rsid w:val="00C07112"/>
    <w:rsid w:val="00C0768D"/>
    <w:rsid w:val="00C07861"/>
    <w:rsid w:val="00C07D8E"/>
    <w:rsid w:val="00C10290"/>
    <w:rsid w:val="00C105A9"/>
    <w:rsid w:val="00C10A30"/>
    <w:rsid w:val="00C1100E"/>
    <w:rsid w:val="00C110E1"/>
    <w:rsid w:val="00C114BC"/>
    <w:rsid w:val="00C11589"/>
    <w:rsid w:val="00C11DC6"/>
    <w:rsid w:val="00C1394C"/>
    <w:rsid w:val="00C14641"/>
    <w:rsid w:val="00C146B3"/>
    <w:rsid w:val="00C154F2"/>
    <w:rsid w:val="00C15903"/>
    <w:rsid w:val="00C160B0"/>
    <w:rsid w:val="00C16CE0"/>
    <w:rsid w:val="00C16FFA"/>
    <w:rsid w:val="00C17F0B"/>
    <w:rsid w:val="00C2047F"/>
    <w:rsid w:val="00C208C1"/>
    <w:rsid w:val="00C20A16"/>
    <w:rsid w:val="00C20D4B"/>
    <w:rsid w:val="00C220D6"/>
    <w:rsid w:val="00C225B8"/>
    <w:rsid w:val="00C23705"/>
    <w:rsid w:val="00C260CE"/>
    <w:rsid w:val="00C265C5"/>
    <w:rsid w:val="00C26AD7"/>
    <w:rsid w:val="00C27253"/>
    <w:rsid w:val="00C27462"/>
    <w:rsid w:val="00C27CEE"/>
    <w:rsid w:val="00C27D56"/>
    <w:rsid w:val="00C3024E"/>
    <w:rsid w:val="00C32641"/>
    <w:rsid w:val="00C32DEC"/>
    <w:rsid w:val="00C3330C"/>
    <w:rsid w:val="00C3398B"/>
    <w:rsid w:val="00C34676"/>
    <w:rsid w:val="00C35E09"/>
    <w:rsid w:val="00C35E15"/>
    <w:rsid w:val="00C36286"/>
    <w:rsid w:val="00C36538"/>
    <w:rsid w:val="00C36814"/>
    <w:rsid w:val="00C371B2"/>
    <w:rsid w:val="00C402AE"/>
    <w:rsid w:val="00C40DBD"/>
    <w:rsid w:val="00C418D0"/>
    <w:rsid w:val="00C42944"/>
    <w:rsid w:val="00C45073"/>
    <w:rsid w:val="00C46115"/>
    <w:rsid w:val="00C46816"/>
    <w:rsid w:val="00C47DF8"/>
    <w:rsid w:val="00C506CB"/>
    <w:rsid w:val="00C508D9"/>
    <w:rsid w:val="00C5133A"/>
    <w:rsid w:val="00C52496"/>
    <w:rsid w:val="00C527EE"/>
    <w:rsid w:val="00C54399"/>
    <w:rsid w:val="00C5527E"/>
    <w:rsid w:val="00C55400"/>
    <w:rsid w:val="00C569B3"/>
    <w:rsid w:val="00C56DFE"/>
    <w:rsid w:val="00C60CC0"/>
    <w:rsid w:val="00C616C3"/>
    <w:rsid w:val="00C623A7"/>
    <w:rsid w:val="00C630CA"/>
    <w:rsid w:val="00C63141"/>
    <w:rsid w:val="00C63799"/>
    <w:rsid w:val="00C64D85"/>
    <w:rsid w:val="00C6500F"/>
    <w:rsid w:val="00C664D7"/>
    <w:rsid w:val="00C66FE8"/>
    <w:rsid w:val="00C672B0"/>
    <w:rsid w:val="00C67DFE"/>
    <w:rsid w:val="00C70198"/>
    <w:rsid w:val="00C70447"/>
    <w:rsid w:val="00C70B8A"/>
    <w:rsid w:val="00C70CBA"/>
    <w:rsid w:val="00C712D8"/>
    <w:rsid w:val="00C7182F"/>
    <w:rsid w:val="00C71BC5"/>
    <w:rsid w:val="00C72020"/>
    <w:rsid w:val="00C72768"/>
    <w:rsid w:val="00C74547"/>
    <w:rsid w:val="00C748C6"/>
    <w:rsid w:val="00C74A65"/>
    <w:rsid w:val="00C75414"/>
    <w:rsid w:val="00C75859"/>
    <w:rsid w:val="00C7691C"/>
    <w:rsid w:val="00C76A76"/>
    <w:rsid w:val="00C802B7"/>
    <w:rsid w:val="00C80644"/>
    <w:rsid w:val="00C82027"/>
    <w:rsid w:val="00C8236E"/>
    <w:rsid w:val="00C8253A"/>
    <w:rsid w:val="00C833B5"/>
    <w:rsid w:val="00C83B02"/>
    <w:rsid w:val="00C84C49"/>
    <w:rsid w:val="00C85576"/>
    <w:rsid w:val="00C85F7E"/>
    <w:rsid w:val="00C86AF2"/>
    <w:rsid w:val="00C905B3"/>
    <w:rsid w:val="00C90766"/>
    <w:rsid w:val="00C9149A"/>
    <w:rsid w:val="00C91530"/>
    <w:rsid w:val="00C915CC"/>
    <w:rsid w:val="00C91D5A"/>
    <w:rsid w:val="00C91F80"/>
    <w:rsid w:val="00C926F3"/>
    <w:rsid w:val="00C93A77"/>
    <w:rsid w:val="00C941D9"/>
    <w:rsid w:val="00C96392"/>
    <w:rsid w:val="00C96A21"/>
    <w:rsid w:val="00CA0622"/>
    <w:rsid w:val="00CA134F"/>
    <w:rsid w:val="00CA2851"/>
    <w:rsid w:val="00CA3176"/>
    <w:rsid w:val="00CA720A"/>
    <w:rsid w:val="00CA7414"/>
    <w:rsid w:val="00CA7E3E"/>
    <w:rsid w:val="00CB09AB"/>
    <w:rsid w:val="00CB0D60"/>
    <w:rsid w:val="00CB0F7C"/>
    <w:rsid w:val="00CB1622"/>
    <w:rsid w:val="00CB1C78"/>
    <w:rsid w:val="00CB236E"/>
    <w:rsid w:val="00CB3149"/>
    <w:rsid w:val="00CB32D6"/>
    <w:rsid w:val="00CB416D"/>
    <w:rsid w:val="00CB4567"/>
    <w:rsid w:val="00CB4BB1"/>
    <w:rsid w:val="00CB5E15"/>
    <w:rsid w:val="00CB7316"/>
    <w:rsid w:val="00CC0818"/>
    <w:rsid w:val="00CC1A9C"/>
    <w:rsid w:val="00CC1ADE"/>
    <w:rsid w:val="00CC33B9"/>
    <w:rsid w:val="00CC373C"/>
    <w:rsid w:val="00CC4AE6"/>
    <w:rsid w:val="00CC4BE3"/>
    <w:rsid w:val="00CC5E89"/>
    <w:rsid w:val="00CC6395"/>
    <w:rsid w:val="00CC66C9"/>
    <w:rsid w:val="00CC767B"/>
    <w:rsid w:val="00CD01B6"/>
    <w:rsid w:val="00CD02CA"/>
    <w:rsid w:val="00CD1332"/>
    <w:rsid w:val="00CD165C"/>
    <w:rsid w:val="00CD2143"/>
    <w:rsid w:val="00CD2A77"/>
    <w:rsid w:val="00CD2F14"/>
    <w:rsid w:val="00CD3023"/>
    <w:rsid w:val="00CD31A4"/>
    <w:rsid w:val="00CD52A0"/>
    <w:rsid w:val="00CD56E7"/>
    <w:rsid w:val="00CD64C3"/>
    <w:rsid w:val="00CD7CB6"/>
    <w:rsid w:val="00CE047A"/>
    <w:rsid w:val="00CE19F7"/>
    <w:rsid w:val="00CE1AB9"/>
    <w:rsid w:val="00CE1F34"/>
    <w:rsid w:val="00CE2089"/>
    <w:rsid w:val="00CE2F63"/>
    <w:rsid w:val="00CE3124"/>
    <w:rsid w:val="00CE5018"/>
    <w:rsid w:val="00CE64BE"/>
    <w:rsid w:val="00CE793B"/>
    <w:rsid w:val="00CF0077"/>
    <w:rsid w:val="00CF00FF"/>
    <w:rsid w:val="00CF1295"/>
    <w:rsid w:val="00CF1446"/>
    <w:rsid w:val="00CF218E"/>
    <w:rsid w:val="00CF2AAE"/>
    <w:rsid w:val="00CF3467"/>
    <w:rsid w:val="00CF35A6"/>
    <w:rsid w:val="00CF39F7"/>
    <w:rsid w:val="00CF3AE7"/>
    <w:rsid w:val="00CF4570"/>
    <w:rsid w:val="00CF4F0A"/>
    <w:rsid w:val="00CF503E"/>
    <w:rsid w:val="00CF53BC"/>
    <w:rsid w:val="00CF5D6E"/>
    <w:rsid w:val="00D00A42"/>
    <w:rsid w:val="00D01E47"/>
    <w:rsid w:val="00D020FC"/>
    <w:rsid w:val="00D02AE1"/>
    <w:rsid w:val="00D02D45"/>
    <w:rsid w:val="00D032B2"/>
    <w:rsid w:val="00D037D9"/>
    <w:rsid w:val="00D03817"/>
    <w:rsid w:val="00D03FD3"/>
    <w:rsid w:val="00D044CD"/>
    <w:rsid w:val="00D04A3C"/>
    <w:rsid w:val="00D05423"/>
    <w:rsid w:val="00D06208"/>
    <w:rsid w:val="00D068C5"/>
    <w:rsid w:val="00D075CC"/>
    <w:rsid w:val="00D10286"/>
    <w:rsid w:val="00D10607"/>
    <w:rsid w:val="00D11B17"/>
    <w:rsid w:val="00D1274C"/>
    <w:rsid w:val="00D12AFE"/>
    <w:rsid w:val="00D12E12"/>
    <w:rsid w:val="00D13396"/>
    <w:rsid w:val="00D14701"/>
    <w:rsid w:val="00D1599F"/>
    <w:rsid w:val="00D161E0"/>
    <w:rsid w:val="00D17286"/>
    <w:rsid w:val="00D17DF2"/>
    <w:rsid w:val="00D2092F"/>
    <w:rsid w:val="00D218A1"/>
    <w:rsid w:val="00D22B89"/>
    <w:rsid w:val="00D22D7A"/>
    <w:rsid w:val="00D2422A"/>
    <w:rsid w:val="00D24308"/>
    <w:rsid w:val="00D24F0D"/>
    <w:rsid w:val="00D24F23"/>
    <w:rsid w:val="00D25019"/>
    <w:rsid w:val="00D25577"/>
    <w:rsid w:val="00D255AC"/>
    <w:rsid w:val="00D30440"/>
    <w:rsid w:val="00D3070E"/>
    <w:rsid w:val="00D30D41"/>
    <w:rsid w:val="00D30DAD"/>
    <w:rsid w:val="00D31CCD"/>
    <w:rsid w:val="00D32334"/>
    <w:rsid w:val="00D354B7"/>
    <w:rsid w:val="00D35E40"/>
    <w:rsid w:val="00D37DA8"/>
    <w:rsid w:val="00D403F4"/>
    <w:rsid w:val="00D40CEA"/>
    <w:rsid w:val="00D40EFF"/>
    <w:rsid w:val="00D41619"/>
    <w:rsid w:val="00D4185E"/>
    <w:rsid w:val="00D447EA"/>
    <w:rsid w:val="00D44BF1"/>
    <w:rsid w:val="00D44D54"/>
    <w:rsid w:val="00D45A91"/>
    <w:rsid w:val="00D46C19"/>
    <w:rsid w:val="00D475B7"/>
    <w:rsid w:val="00D501F4"/>
    <w:rsid w:val="00D5024F"/>
    <w:rsid w:val="00D5053B"/>
    <w:rsid w:val="00D5070C"/>
    <w:rsid w:val="00D511D2"/>
    <w:rsid w:val="00D52102"/>
    <w:rsid w:val="00D521A9"/>
    <w:rsid w:val="00D525E4"/>
    <w:rsid w:val="00D53CCB"/>
    <w:rsid w:val="00D54A41"/>
    <w:rsid w:val="00D5554E"/>
    <w:rsid w:val="00D56D92"/>
    <w:rsid w:val="00D6080C"/>
    <w:rsid w:val="00D61FE5"/>
    <w:rsid w:val="00D62544"/>
    <w:rsid w:val="00D625F5"/>
    <w:rsid w:val="00D62A1D"/>
    <w:rsid w:val="00D64814"/>
    <w:rsid w:val="00D66C35"/>
    <w:rsid w:val="00D67C03"/>
    <w:rsid w:val="00D67CD9"/>
    <w:rsid w:val="00D70ED5"/>
    <w:rsid w:val="00D70F2A"/>
    <w:rsid w:val="00D71F70"/>
    <w:rsid w:val="00D72090"/>
    <w:rsid w:val="00D72371"/>
    <w:rsid w:val="00D72771"/>
    <w:rsid w:val="00D727DA"/>
    <w:rsid w:val="00D7394A"/>
    <w:rsid w:val="00D73A19"/>
    <w:rsid w:val="00D73A80"/>
    <w:rsid w:val="00D74962"/>
    <w:rsid w:val="00D74E28"/>
    <w:rsid w:val="00D74EF4"/>
    <w:rsid w:val="00D75901"/>
    <w:rsid w:val="00D759AC"/>
    <w:rsid w:val="00D76B62"/>
    <w:rsid w:val="00D771F2"/>
    <w:rsid w:val="00D77588"/>
    <w:rsid w:val="00D77883"/>
    <w:rsid w:val="00D7791E"/>
    <w:rsid w:val="00D77A13"/>
    <w:rsid w:val="00D77D02"/>
    <w:rsid w:val="00D81111"/>
    <w:rsid w:val="00D81968"/>
    <w:rsid w:val="00D81FFC"/>
    <w:rsid w:val="00D82121"/>
    <w:rsid w:val="00D82127"/>
    <w:rsid w:val="00D82AFE"/>
    <w:rsid w:val="00D82F53"/>
    <w:rsid w:val="00D8762C"/>
    <w:rsid w:val="00D87E35"/>
    <w:rsid w:val="00D87FAB"/>
    <w:rsid w:val="00D90C6E"/>
    <w:rsid w:val="00D91661"/>
    <w:rsid w:val="00D91DCE"/>
    <w:rsid w:val="00D92166"/>
    <w:rsid w:val="00D92F4A"/>
    <w:rsid w:val="00D92FD4"/>
    <w:rsid w:val="00D9348A"/>
    <w:rsid w:val="00D9370A"/>
    <w:rsid w:val="00D9391E"/>
    <w:rsid w:val="00D97E2C"/>
    <w:rsid w:val="00DA0202"/>
    <w:rsid w:val="00DA0465"/>
    <w:rsid w:val="00DA0C6F"/>
    <w:rsid w:val="00DA11C1"/>
    <w:rsid w:val="00DA23EB"/>
    <w:rsid w:val="00DA3DDE"/>
    <w:rsid w:val="00DA456E"/>
    <w:rsid w:val="00DA580D"/>
    <w:rsid w:val="00DA58CD"/>
    <w:rsid w:val="00DA644D"/>
    <w:rsid w:val="00DA64AA"/>
    <w:rsid w:val="00DA6BB1"/>
    <w:rsid w:val="00DA76CB"/>
    <w:rsid w:val="00DB0984"/>
    <w:rsid w:val="00DB1E54"/>
    <w:rsid w:val="00DB2A17"/>
    <w:rsid w:val="00DB2D3B"/>
    <w:rsid w:val="00DB3C2A"/>
    <w:rsid w:val="00DB44F4"/>
    <w:rsid w:val="00DB45A6"/>
    <w:rsid w:val="00DB4D9C"/>
    <w:rsid w:val="00DB5A62"/>
    <w:rsid w:val="00DB70B7"/>
    <w:rsid w:val="00DB75B5"/>
    <w:rsid w:val="00DB7BE9"/>
    <w:rsid w:val="00DC027A"/>
    <w:rsid w:val="00DC0BEA"/>
    <w:rsid w:val="00DC0E76"/>
    <w:rsid w:val="00DC0EE0"/>
    <w:rsid w:val="00DC11CF"/>
    <w:rsid w:val="00DC18FE"/>
    <w:rsid w:val="00DC1CAC"/>
    <w:rsid w:val="00DC1F6C"/>
    <w:rsid w:val="00DC3C3A"/>
    <w:rsid w:val="00DC4AAD"/>
    <w:rsid w:val="00DC5A97"/>
    <w:rsid w:val="00DC7028"/>
    <w:rsid w:val="00DC781C"/>
    <w:rsid w:val="00DD1582"/>
    <w:rsid w:val="00DD5F0D"/>
    <w:rsid w:val="00DD6096"/>
    <w:rsid w:val="00DD7A9D"/>
    <w:rsid w:val="00DE076E"/>
    <w:rsid w:val="00DE0C16"/>
    <w:rsid w:val="00DE0C8A"/>
    <w:rsid w:val="00DE1100"/>
    <w:rsid w:val="00DE1911"/>
    <w:rsid w:val="00DE1B95"/>
    <w:rsid w:val="00DE205C"/>
    <w:rsid w:val="00DE27F3"/>
    <w:rsid w:val="00DE2F34"/>
    <w:rsid w:val="00DE2F51"/>
    <w:rsid w:val="00DE3137"/>
    <w:rsid w:val="00DE314C"/>
    <w:rsid w:val="00DE434A"/>
    <w:rsid w:val="00DE4E43"/>
    <w:rsid w:val="00DE517C"/>
    <w:rsid w:val="00DE593C"/>
    <w:rsid w:val="00DE5A61"/>
    <w:rsid w:val="00DE5CAD"/>
    <w:rsid w:val="00DE689E"/>
    <w:rsid w:val="00DE7AE1"/>
    <w:rsid w:val="00DF1D08"/>
    <w:rsid w:val="00DF1E25"/>
    <w:rsid w:val="00DF214E"/>
    <w:rsid w:val="00DF25DF"/>
    <w:rsid w:val="00DF36A9"/>
    <w:rsid w:val="00DF5252"/>
    <w:rsid w:val="00DF53A3"/>
    <w:rsid w:val="00DF6F78"/>
    <w:rsid w:val="00E0164D"/>
    <w:rsid w:val="00E01A8F"/>
    <w:rsid w:val="00E02676"/>
    <w:rsid w:val="00E02B1F"/>
    <w:rsid w:val="00E02FB8"/>
    <w:rsid w:val="00E0358F"/>
    <w:rsid w:val="00E03716"/>
    <w:rsid w:val="00E04CF9"/>
    <w:rsid w:val="00E04E16"/>
    <w:rsid w:val="00E05ACE"/>
    <w:rsid w:val="00E101FD"/>
    <w:rsid w:val="00E1027F"/>
    <w:rsid w:val="00E10DD0"/>
    <w:rsid w:val="00E11742"/>
    <w:rsid w:val="00E117EB"/>
    <w:rsid w:val="00E11A1F"/>
    <w:rsid w:val="00E11C10"/>
    <w:rsid w:val="00E12A93"/>
    <w:rsid w:val="00E1421D"/>
    <w:rsid w:val="00E1580E"/>
    <w:rsid w:val="00E160F8"/>
    <w:rsid w:val="00E16AC8"/>
    <w:rsid w:val="00E17084"/>
    <w:rsid w:val="00E20D14"/>
    <w:rsid w:val="00E21095"/>
    <w:rsid w:val="00E211CE"/>
    <w:rsid w:val="00E2212F"/>
    <w:rsid w:val="00E225F7"/>
    <w:rsid w:val="00E22E60"/>
    <w:rsid w:val="00E26525"/>
    <w:rsid w:val="00E265A4"/>
    <w:rsid w:val="00E268BA"/>
    <w:rsid w:val="00E26F05"/>
    <w:rsid w:val="00E271D6"/>
    <w:rsid w:val="00E30536"/>
    <w:rsid w:val="00E308F0"/>
    <w:rsid w:val="00E33617"/>
    <w:rsid w:val="00E350B6"/>
    <w:rsid w:val="00E350D5"/>
    <w:rsid w:val="00E35A35"/>
    <w:rsid w:val="00E35C2C"/>
    <w:rsid w:val="00E360B0"/>
    <w:rsid w:val="00E36805"/>
    <w:rsid w:val="00E36E8C"/>
    <w:rsid w:val="00E374FE"/>
    <w:rsid w:val="00E37B1D"/>
    <w:rsid w:val="00E40070"/>
    <w:rsid w:val="00E40ED1"/>
    <w:rsid w:val="00E41B1F"/>
    <w:rsid w:val="00E420E6"/>
    <w:rsid w:val="00E422DC"/>
    <w:rsid w:val="00E42503"/>
    <w:rsid w:val="00E42B48"/>
    <w:rsid w:val="00E431F8"/>
    <w:rsid w:val="00E436C2"/>
    <w:rsid w:val="00E4441D"/>
    <w:rsid w:val="00E44C05"/>
    <w:rsid w:val="00E44F23"/>
    <w:rsid w:val="00E454B1"/>
    <w:rsid w:val="00E46030"/>
    <w:rsid w:val="00E46214"/>
    <w:rsid w:val="00E46D40"/>
    <w:rsid w:val="00E46E49"/>
    <w:rsid w:val="00E47C96"/>
    <w:rsid w:val="00E50123"/>
    <w:rsid w:val="00E50B8D"/>
    <w:rsid w:val="00E50FA4"/>
    <w:rsid w:val="00E52B4A"/>
    <w:rsid w:val="00E53FF6"/>
    <w:rsid w:val="00E54CF1"/>
    <w:rsid w:val="00E55A5C"/>
    <w:rsid w:val="00E56178"/>
    <w:rsid w:val="00E60301"/>
    <w:rsid w:val="00E6090D"/>
    <w:rsid w:val="00E61713"/>
    <w:rsid w:val="00E620DC"/>
    <w:rsid w:val="00E63CBB"/>
    <w:rsid w:val="00E63EF1"/>
    <w:rsid w:val="00E64093"/>
    <w:rsid w:val="00E647C8"/>
    <w:rsid w:val="00E64C25"/>
    <w:rsid w:val="00E652E1"/>
    <w:rsid w:val="00E6558E"/>
    <w:rsid w:val="00E65F94"/>
    <w:rsid w:val="00E66711"/>
    <w:rsid w:val="00E66995"/>
    <w:rsid w:val="00E66C99"/>
    <w:rsid w:val="00E67F51"/>
    <w:rsid w:val="00E71501"/>
    <w:rsid w:val="00E7228D"/>
    <w:rsid w:val="00E72C89"/>
    <w:rsid w:val="00E737FB"/>
    <w:rsid w:val="00E73939"/>
    <w:rsid w:val="00E73EB3"/>
    <w:rsid w:val="00E76293"/>
    <w:rsid w:val="00E765A2"/>
    <w:rsid w:val="00E766E8"/>
    <w:rsid w:val="00E77CBC"/>
    <w:rsid w:val="00E802E3"/>
    <w:rsid w:val="00E8090E"/>
    <w:rsid w:val="00E80C89"/>
    <w:rsid w:val="00E80D93"/>
    <w:rsid w:val="00E81CBA"/>
    <w:rsid w:val="00E833E3"/>
    <w:rsid w:val="00E843E3"/>
    <w:rsid w:val="00E84AE7"/>
    <w:rsid w:val="00E85E38"/>
    <w:rsid w:val="00E90D00"/>
    <w:rsid w:val="00E92104"/>
    <w:rsid w:val="00E92FCE"/>
    <w:rsid w:val="00E93D4C"/>
    <w:rsid w:val="00E94332"/>
    <w:rsid w:val="00E94982"/>
    <w:rsid w:val="00E949ED"/>
    <w:rsid w:val="00E94D15"/>
    <w:rsid w:val="00E95654"/>
    <w:rsid w:val="00E96127"/>
    <w:rsid w:val="00E963EC"/>
    <w:rsid w:val="00E96685"/>
    <w:rsid w:val="00E97651"/>
    <w:rsid w:val="00E976BB"/>
    <w:rsid w:val="00E977A6"/>
    <w:rsid w:val="00E977C8"/>
    <w:rsid w:val="00E97DE3"/>
    <w:rsid w:val="00EA01DB"/>
    <w:rsid w:val="00EA0474"/>
    <w:rsid w:val="00EA0916"/>
    <w:rsid w:val="00EA1D0F"/>
    <w:rsid w:val="00EA21F5"/>
    <w:rsid w:val="00EA2654"/>
    <w:rsid w:val="00EA2842"/>
    <w:rsid w:val="00EA3268"/>
    <w:rsid w:val="00EA359E"/>
    <w:rsid w:val="00EA4134"/>
    <w:rsid w:val="00EA462E"/>
    <w:rsid w:val="00EA4D52"/>
    <w:rsid w:val="00EA5E07"/>
    <w:rsid w:val="00EA5E96"/>
    <w:rsid w:val="00EA6280"/>
    <w:rsid w:val="00EA6469"/>
    <w:rsid w:val="00EA6BC2"/>
    <w:rsid w:val="00EA76AA"/>
    <w:rsid w:val="00EA7733"/>
    <w:rsid w:val="00EA7E60"/>
    <w:rsid w:val="00EB0F74"/>
    <w:rsid w:val="00EB1668"/>
    <w:rsid w:val="00EB16AF"/>
    <w:rsid w:val="00EB24C3"/>
    <w:rsid w:val="00EB267D"/>
    <w:rsid w:val="00EB27C4"/>
    <w:rsid w:val="00EB2D3E"/>
    <w:rsid w:val="00EB324D"/>
    <w:rsid w:val="00EB3B63"/>
    <w:rsid w:val="00EB49FF"/>
    <w:rsid w:val="00EB4D4A"/>
    <w:rsid w:val="00EB5037"/>
    <w:rsid w:val="00EB54CC"/>
    <w:rsid w:val="00EB5787"/>
    <w:rsid w:val="00EB75DC"/>
    <w:rsid w:val="00EB7856"/>
    <w:rsid w:val="00EB7925"/>
    <w:rsid w:val="00EC017C"/>
    <w:rsid w:val="00EC0387"/>
    <w:rsid w:val="00EC07C6"/>
    <w:rsid w:val="00EC0BA2"/>
    <w:rsid w:val="00EC235A"/>
    <w:rsid w:val="00EC3426"/>
    <w:rsid w:val="00EC43CD"/>
    <w:rsid w:val="00EC4C02"/>
    <w:rsid w:val="00EC4E94"/>
    <w:rsid w:val="00EC5ED7"/>
    <w:rsid w:val="00EC5F30"/>
    <w:rsid w:val="00EC665D"/>
    <w:rsid w:val="00EC680D"/>
    <w:rsid w:val="00ED025A"/>
    <w:rsid w:val="00ED1755"/>
    <w:rsid w:val="00ED1AE4"/>
    <w:rsid w:val="00ED1CC3"/>
    <w:rsid w:val="00ED21BA"/>
    <w:rsid w:val="00ED28B0"/>
    <w:rsid w:val="00ED2C57"/>
    <w:rsid w:val="00ED3CD1"/>
    <w:rsid w:val="00ED3F3C"/>
    <w:rsid w:val="00ED54D2"/>
    <w:rsid w:val="00ED60CE"/>
    <w:rsid w:val="00ED6195"/>
    <w:rsid w:val="00ED6708"/>
    <w:rsid w:val="00ED78D9"/>
    <w:rsid w:val="00ED7BB5"/>
    <w:rsid w:val="00EE0704"/>
    <w:rsid w:val="00EE0D09"/>
    <w:rsid w:val="00EE12A2"/>
    <w:rsid w:val="00EE1B05"/>
    <w:rsid w:val="00EE1BA0"/>
    <w:rsid w:val="00EE26F3"/>
    <w:rsid w:val="00EE4044"/>
    <w:rsid w:val="00EE4813"/>
    <w:rsid w:val="00EE4995"/>
    <w:rsid w:val="00EE4AB7"/>
    <w:rsid w:val="00EE4F54"/>
    <w:rsid w:val="00EE5407"/>
    <w:rsid w:val="00EE54D7"/>
    <w:rsid w:val="00EE7C09"/>
    <w:rsid w:val="00EF11B4"/>
    <w:rsid w:val="00EF2FAC"/>
    <w:rsid w:val="00EF436C"/>
    <w:rsid w:val="00EF45CA"/>
    <w:rsid w:val="00EF4A16"/>
    <w:rsid w:val="00EF520A"/>
    <w:rsid w:val="00EF55C0"/>
    <w:rsid w:val="00EF5D5F"/>
    <w:rsid w:val="00EF6747"/>
    <w:rsid w:val="00EF7607"/>
    <w:rsid w:val="00EF7F6E"/>
    <w:rsid w:val="00F000E3"/>
    <w:rsid w:val="00F00969"/>
    <w:rsid w:val="00F0235C"/>
    <w:rsid w:val="00F03003"/>
    <w:rsid w:val="00F038BF"/>
    <w:rsid w:val="00F03B4F"/>
    <w:rsid w:val="00F04403"/>
    <w:rsid w:val="00F0474E"/>
    <w:rsid w:val="00F048EC"/>
    <w:rsid w:val="00F05B3C"/>
    <w:rsid w:val="00F05D9C"/>
    <w:rsid w:val="00F065E0"/>
    <w:rsid w:val="00F06AA8"/>
    <w:rsid w:val="00F075AA"/>
    <w:rsid w:val="00F076F8"/>
    <w:rsid w:val="00F0775B"/>
    <w:rsid w:val="00F07C51"/>
    <w:rsid w:val="00F07EC0"/>
    <w:rsid w:val="00F1084B"/>
    <w:rsid w:val="00F10D6F"/>
    <w:rsid w:val="00F10ECB"/>
    <w:rsid w:val="00F11208"/>
    <w:rsid w:val="00F115A9"/>
    <w:rsid w:val="00F117C9"/>
    <w:rsid w:val="00F14168"/>
    <w:rsid w:val="00F152F8"/>
    <w:rsid w:val="00F15D89"/>
    <w:rsid w:val="00F15F19"/>
    <w:rsid w:val="00F16BD9"/>
    <w:rsid w:val="00F17F39"/>
    <w:rsid w:val="00F20011"/>
    <w:rsid w:val="00F211C0"/>
    <w:rsid w:val="00F21746"/>
    <w:rsid w:val="00F21B93"/>
    <w:rsid w:val="00F226F9"/>
    <w:rsid w:val="00F23EB5"/>
    <w:rsid w:val="00F253BB"/>
    <w:rsid w:val="00F25967"/>
    <w:rsid w:val="00F25B97"/>
    <w:rsid w:val="00F261A7"/>
    <w:rsid w:val="00F26F71"/>
    <w:rsid w:val="00F2750A"/>
    <w:rsid w:val="00F30C4E"/>
    <w:rsid w:val="00F31C4C"/>
    <w:rsid w:val="00F32248"/>
    <w:rsid w:val="00F33791"/>
    <w:rsid w:val="00F3392A"/>
    <w:rsid w:val="00F3399B"/>
    <w:rsid w:val="00F34386"/>
    <w:rsid w:val="00F349AE"/>
    <w:rsid w:val="00F34FAF"/>
    <w:rsid w:val="00F37A07"/>
    <w:rsid w:val="00F41384"/>
    <w:rsid w:val="00F42B1D"/>
    <w:rsid w:val="00F43219"/>
    <w:rsid w:val="00F43BE3"/>
    <w:rsid w:val="00F43D34"/>
    <w:rsid w:val="00F4419C"/>
    <w:rsid w:val="00F44408"/>
    <w:rsid w:val="00F45FFB"/>
    <w:rsid w:val="00F464EE"/>
    <w:rsid w:val="00F4701D"/>
    <w:rsid w:val="00F47A3A"/>
    <w:rsid w:val="00F50825"/>
    <w:rsid w:val="00F50D19"/>
    <w:rsid w:val="00F5110D"/>
    <w:rsid w:val="00F5119F"/>
    <w:rsid w:val="00F512E1"/>
    <w:rsid w:val="00F51307"/>
    <w:rsid w:val="00F51329"/>
    <w:rsid w:val="00F52346"/>
    <w:rsid w:val="00F52A13"/>
    <w:rsid w:val="00F52B53"/>
    <w:rsid w:val="00F52F3F"/>
    <w:rsid w:val="00F53715"/>
    <w:rsid w:val="00F5382B"/>
    <w:rsid w:val="00F538D1"/>
    <w:rsid w:val="00F544DB"/>
    <w:rsid w:val="00F54798"/>
    <w:rsid w:val="00F54F2B"/>
    <w:rsid w:val="00F5600E"/>
    <w:rsid w:val="00F569DB"/>
    <w:rsid w:val="00F56DC0"/>
    <w:rsid w:val="00F60A1D"/>
    <w:rsid w:val="00F61B21"/>
    <w:rsid w:val="00F61FD7"/>
    <w:rsid w:val="00F624EE"/>
    <w:rsid w:val="00F626EC"/>
    <w:rsid w:val="00F6272B"/>
    <w:rsid w:val="00F62CB4"/>
    <w:rsid w:val="00F6310B"/>
    <w:rsid w:val="00F6341F"/>
    <w:rsid w:val="00F63AE5"/>
    <w:rsid w:val="00F642DA"/>
    <w:rsid w:val="00F645B8"/>
    <w:rsid w:val="00F657B9"/>
    <w:rsid w:val="00F658EF"/>
    <w:rsid w:val="00F658F2"/>
    <w:rsid w:val="00F66C93"/>
    <w:rsid w:val="00F67267"/>
    <w:rsid w:val="00F676A1"/>
    <w:rsid w:val="00F67724"/>
    <w:rsid w:val="00F67BC0"/>
    <w:rsid w:val="00F7156B"/>
    <w:rsid w:val="00F71D86"/>
    <w:rsid w:val="00F73962"/>
    <w:rsid w:val="00F73C54"/>
    <w:rsid w:val="00F7405C"/>
    <w:rsid w:val="00F74122"/>
    <w:rsid w:val="00F74438"/>
    <w:rsid w:val="00F75465"/>
    <w:rsid w:val="00F76D58"/>
    <w:rsid w:val="00F77017"/>
    <w:rsid w:val="00F771FC"/>
    <w:rsid w:val="00F8011A"/>
    <w:rsid w:val="00F80A5B"/>
    <w:rsid w:val="00F82411"/>
    <w:rsid w:val="00F827EA"/>
    <w:rsid w:val="00F830FE"/>
    <w:rsid w:val="00F83589"/>
    <w:rsid w:val="00F854A4"/>
    <w:rsid w:val="00F86E56"/>
    <w:rsid w:val="00F903B3"/>
    <w:rsid w:val="00F911AD"/>
    <w:rsid w:val="00F91586"/>
    <w:rsid w:val="00F919AF"/>
    <w:rsid w:val="00F91D15"/>
    <w:rsid w:val="00F947FA"/>
    <w:rsid w:val="00F95921"/>
    <w:rsid w:val="00F96469"/>
    <w:rsid w:val="00F964F6"/>
    <w:rsid w:val="00F965E4"/>
    <w:rsid w:val="00F97804"/>
    <w:rsid w:val="00FA1601"/>
    <w:rsid w:val="00FA313F"/>
    <w:rsid w:val="00FA352E"/>
    <w:rsid w:val="00FA3596"/>
    <w:rsid w:val="00FA3A95"/>
    <w:rsid w:val="00FA3CD7"/>
    <w:rsid w:val="00FA50F2"/>
    <w:rsid w:val="00FA5680"/>
    <w:rsid w:val="00FA74B2"/>
    <w:rsid w:val="00FA78CC"/>
    <w:rsid w:val="00FA7C56"/>
    <w:rsid w:val="00FA7CF2"/>
    <w:rsid w:val="00FB0778"/>
    <w:rsid w:val="00FB0BD9"/>
    <w:rsid w:val="00FB106B"/>
    <w:rsid w:val="00FB227B"/>
    <w:rsid w:val="00FB25A9"/>
    <w:rsid w:val="00FB3E3C"/>
    <w:rsid w:val="00FB4F95"/>
    <w:rsid w:val="00FB5256"/>
    <w:rsid w:val="00FB526A"/>
    <w:rsid w:val="00FB5AFC"/>
    <w:rsid w:val="00FB6402"/>
    <w:rsid w:val="00FB6423"/>
    <w:rsid w:val="00FB6793"/>
    <w:rsid w:val="00FB702D"/>
    <w:rsid w:val="00FB7988"/>
    <w:rsid w:val="00FC0128"/>
    <w:rsid w:val="00FC01E7"/>
    <w:rsid w:val="00FC026D"/>
    <w:rsid w:val="00FC065F"/>
    <w:rsid w:val="00FC09F2"/>
    <w:rsid w:val="00FC221A"/>
    <w:rsid w:val="00FC2FCD"/>
    <w:rsid w:val="00FC33F4"/>
    <w:rsid w:val="00FC407C"/>
    <w:rsid w:val="00FC46D2"/>
    <w:rsid w:val="00FC478E"/>
    <w:rsid w:val="00FC65ED"/>
    <w:rsid w:val="00FC6981"/>
    <w:rsid w:val="00FD0102"/>
    <w:rsid w:val="00FD06C1"/>
    <w:rsid w:val="00FD0ADF"/>
    <w:rsid w:val="00FD1675"/>
    <w:rsid w:val="00FD19B8"/>
    <w:rsid w:val="00FD1EB8"/>
    <w:rsid w:val="00FD3ED8"/>
    <w:rsid w:val="00FD4007"/>
    <w:rsid w:val="00FD4357"/>
    <w:rsid w:val="00FD4D5A"/>
    <w:rsid w:val="00FD58E0"/>
    <w:rsid w:val="00FD5D8D"/>
    <w:rsid w:val="00FD5DB2"/>
    <w:rsid w:val="00FD63AB"/>
    <w:rsid w:val="00FD6591"/>
    <w:rsid w:val="00FD6B2B"/>
    <w:rsid w:val="00FE0285"/>
    <w:rsid w:val="00FE037F"/>
    <w:rsid w:val="00FE0EDC"/>
    <w:rsid w:val="00FE10F3"/>
    <w:rsid w:val="00FE1930"/>
    <w:rsid w:val="00FE2568"/>
    <w:rsid w:val="00FE28FD"/>
    <w:rsid w:val="00FE2D51"/>
    <w:rsid w:val="00FE437F"/>
    <w:rsid w:val="00FE4497"/>
    <w:rsid w:val="00FE4881"/>
    <w:rsid w:val="00FE4B8B"/>
    <w:rsid w:val="00FE5004"/>
    <w:rsid w:val="00FE6633"/>
    <w:rsid w:val="00FE7584"/>
    <w:rsid w:val="00FE7900"/>
    <w:rsid w:val="00FE7B8B"/>
    <w:rsid w:val="00FF13E3"/>
    <w:rsid w:val="00FF1424"/>
    <w:rsid w:val="00FF1497"/>
    <w:rsid w:val="00FF1BCD"/>
    <w:rsid w:val="00FF1FB8"/>
    <w:rsid w:val="00FF229F"/>
    <w:rsid w:val="00FF2597"/>
    <w:rsid w:val="00FF2A5C"/>
    <w:rsid w:val="00FF3C56"/>
    <w:rsid w:val="00FF3C82"/>
    <w:rsid w:val="00FF413A"/>
    <w:rsid w:val="00FF41ED"/>
    <w:rsid w:val="00FF50A2"/>
    <w:rsid w:val="00FF6723"/>
    <w:rsid w:val="00FF6C3D"/>
    <w:rsid w:val="00FF77EC"/>
    <w:rsid w:val="00FF79D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FC8BCB0"/>
  <w15:docId w15:val="{FFBE5315-4F74-43A7-ADEA-2ACB4A1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89"/>
    <w:rPr>
      <w:rFonts w:ascii="Arial" w:hAnsi="Arial"/>
      <w:sz w:val="24"/>
      <w:szCs w:val="24"/>
      <w:lang w:eastAsia="en-US"/>
    </w:rPr>
  </w:style>
  <w:style w:type="paragraph" w:styleId="Heading1">
    <w:name w:val="heading 1"/>
    <w:basedOn w:val="Normal"/>
    <w:next w:val="Normal"/>
    <w:link w:val="Heading1Char"/>
    <w:uiPriority w:val="9"/>
    <w:qFormat/>
    <w:rsid w:val="00B04277"/>
    <w:pPr>
      <w:keepNext/>
      <w:keepLines/>
      <w:ind w:left="720" w:hanging="720"/>
      <w:outlineLvl w:val="0"/>
    </w:pPr>
    <w:rPr>
      <w:rFonts w:eastAsia="Times New Roman"/>
      <w:b/>
      <w:bCs/>
    </w:rPr>
  </w:style>
  <w:style w:type="paragraph" w:styleId="Heading2">
    <w:name w:val="heading 2"/>
    <w:basedOn w:val="Normal"/>
    <w:next w:val="Normal"/>
    <w:link w:val="Heading2Char"/>
    <w:uiPriority w:val="9"/>
    <w:unhideWhenUsed/>
    <w:qFormat/>
    <w:rsid w:val="00E72C89"/>
    <w:pPr>
      <w:keepNext/>
      <w:keepLines/>
      <w:outlineLvl w:val="1"/>
    </w:pPr>
    <w:rPr>
      <w:rFonts w:eastAsia="Times New Roman"/>
      <w:b/>
      <w:bCs/>
      <w:i/>
      <w:szCs w:val="26"/>
    </w:rPr>
  </w:style>
  <w:style w:type="paragraph" w:styleId="Heading3">
    <w:name w:val="heading 3"/>
    <w:basedOn w:val="Normal"/>
    <w:next w:val="Normal"/>
    <w:link w:val="Heading3Char"/>
    <w:uiPriority w:val="9"/>
    <w:semiHidden/>
    <w:unhideWhenUsed/>
    <w:rsid w:val="008343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3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B04277"/>
    <w:rPr>
      <w:rFonts w:ascii="Arial" w:eastAsia="Times New Roman" w:hAnsi="Arial"/>
      <w:b/>
      <w:bCs/>
      <w:sz w:val="24"/>
      <w:szCs w:val="24"/>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E72C89"/>
    <w:rPr>
      <w:rFonts w:ascii="Arial" w:eastAsia="Times New Roman" w:hAnsi="Arial"/>
      <w:b/>
      <w:bCs/>
      <w:i/>
      <w:sz w:val="24"/>
      <w:szCs w:val="26"/>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9740DB"/>
    <w:pPr>
      <w:tabs>
        <w:tab w:val="center" w:pos="4513"/>
        <w:tab w:val="right" w:pos="9026"/>
      </w:tabs>
    </w:pPr>
  </w:style>
  <w:style w:type="character" w:customStyle="1" w:styleId="HeaderChar">
    <w:name w:val="Header Char"/>
    <w:basedOn w:val="DefaultParagraphFont"/>
    <w:link w:val="Header"/>
    <w:uiPriority w:val="99"/>
    <w:rsid w:val="009740DB"/>
    <w:rPr>
      <w:rFonts w:ascii="Arial" w:hAnsi="Arial"/>
      <w:sz w:val="28"/>
      <w:szCs w:val="22"/>
      <w:lang w:eastAsia="en-US"/>
    </w:rPr>
  </w:style>
  <w:style w:type="paragraph" w:styleId="Footer">
    <w:name w:val="footer"/>
    <w:basedOn w:val="Normal"/>
    <w:link w:val="FooterChar"/>
    <w:uiPriority w:val="99"/>
    <w:unhideWhenUsed/>
    <w:rsid w:val="009740DB"/>
    <w:pPr>
      <w:tabs>
        <w:tab w:val="center" w:pos="4513"/>
        <w:tab w:val="right" w:pos="9026"/>
      </w:tabs>
    </w:pPr>
  </w:style>
  <w:style w:type="character" w:customStyle="1" w:styleId="FooterChar">
    <w:name w:val="Footer Char"/>
    <w:basedOn w:val="DefaultParagraphFont"/>
    <w:link w:val="Footer"/>
    <w:uiPriority w:val="99"/>
    <w:rsid w:val="009740DB"/>
    <w:rPr>
      <w:rFonts w:ascii="Arial" w:hAnsi="Arial"/>
      <w:sz w:val="28"/>
      <w:szCs w:val="22"/>
      <w:lang w:eastAsia="en-US"/>
    </w:rPr>
  </w:style>
  <w:style w:type="paragraph" w:styleId="BalloonText">
    <w:name w:val="Balloon Text"/>
    <w:basedOn w:val="Normal"/>
    <w:link w:val="BalloonTextChar"/>
    <w:uiPriority w:val="99"/>
    <w:semiHidden/>
    <w:unhideWhenUsed/>
    <w:rsid w:val="00760489"/>
    <w:rPr>
      <w:rFonts w:ascii="Tahoma" w:hAnsi="Tahoma" w:cs="Tahoma"/>
      <w:sz w:val="16"/>
      <w:szCs w:val="16"/>
    </w:rPr>
  </w:style>
  <w:style w:type="character" w:customStyle="1" w:styleId="BalloonTextChar">
    <w:name w:val="Balloon Text Char"/>
    <w:basedOn w:val="DefaultParagraphFont"/>
    <w:link w:val="BalloonText"/>
    <w:uiPriority w:val="99"/>
    <w:semiHidden/>
    <w:rsid w:val="00760489"/>
    <w:rPr>
      <w:rFonts w:ascii="Tahoma" w:hAnsi="Tahoma" w:cs="Tahoma"/>
      <w:sz w:val="16"/>
      <w:szCs w:val="16"/>
      <w:lang w:eastAsia="en-US"/>
    </w:rPr>
  </w:style>
  <w:style w:type="table" w:styleId="TableGrid">
    <w:name w:val="Table Grid"/>
    <w:basedOn w:val="TableNormal"/>
    <w:uiPriority w:val="59"/>
    <w:rsid w:val="00D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CD2"/>
    <w:rPr>
      <w:sz w:val="16"/>
      <w:szCs w:val="16"/>
    </w:rPr>
  </w:style>
  <w:style w:type="paragraph" w:styleId="CommentText">
    <w:name w:val="annotation text"/>
    <w:basedOn w:val="Normal"/>
    <w:link w:val="CommentTextChar"/>
    <w:uiPriority w:val="99"/>
    <w:unhideWhenUsed/>
    <w:rsid w:val="005A1CD2"/>
    <w:rPr>
      <w:sz w:val="20"/>
      <w:szCs w:val="20"/>
    </w:rPr>
  </w:style>
  <w:style w:type="character" w:customStyle="1" w:styleId="CommentTextChar">
    <w:name w:val="Comment Text Char"/>
    <w:basedOn w:val="DefaultParagraphFont"/>
    <w:link w:val="CommentText"/>
    <w:uiPriority w:val="99"/>
    <w:rsid w:val="005A1C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CD2"/>
    <w:rPr>
      <w:b/>
      <w:bCs/>
    </w:rPr>
  </w:style>
  <w:style w:type="character" w:customStyle="1" w:styleId="CommentSubjectChar">
    <w:name w:val="Comment Subject Char"/>
    <w:basedOn w:val="CommentTextChar"/>
    <w:link w:val="CommentSubject"/>
    <w:uiPriority w:val="99"/>
    <w:semiHidden/>
    <w:rsid w:val="005A1CD2"/>
    <w:rPr>
      <w:rFonts w:ascii="Arial" w:hAnsi="Arial"/>
      <w:b/>
      <w:bCs/>
      <w:lang w:eastAsia="en-US"/>
    </w:rPr>
  </w:style>
  <w:style w:type="paragraph" w:styleId="PlainText">
    <w:name w:val="Plain Text"/>
    <w:basedOn w:val="Normal"/>
    <w:link w:val="PlainTextChar"/>
    <w:uiPriority w:val="99"/>
    <w:unhideWhenUsed/>
    <w:rsid w:val="00AB57DA"/>
    <w:rPr>
      <w:rFonts w:ascii="Consolas" w:hAnsi="Consolas"/>
      <w:sz w:val="21"/>
      <w:szCs w:val="21"/>
    </w:rPr>
  </w:style>
  <w:style w:type="character" w:customStyle="1" w:styleId="PlainTextChar">
    <w:name w:val="Plain Text Char"/>
    <w:basedOn w:val="DefaultParagraphFont"/>
    <w:link w:val="PlainText"/>
    <w:uiPriority w:val="99"/>
    <w:rsid w:val="00AB57DA"/>
    <w:rPr>
      <w:rFonts w:ascii="Consolas" w:hAnsi="Consolas"/>
      <w:sz w:val="21"/>
      <w:szCs w:val="21"/>
    </w:rPr>
  </w:style>
  <w:style w:type="paragraph" w:styleId="NormalWeb">
    <w:name w:val="Normal (Web)"/>
    <w:basedOn w:val="Normal"/>
    <w:uiPriority w:val="99"/>
    <w:unhideWhenUsed/>
    <w:rsid w:val="00D82121"/>
    <w:pPr>
      <w:spacing w:before="24" w:after="144"/>
    </w:pPr>
    <w:rPr>
      <w:rFonts w:eastAsia="Times New Roman" w:cs="Arial"/>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F025D"/>
    <w:rPr>
      <w:rFonts w:ascii="Arial" w:hAnsi="Arial"/>
      <w:sz w:val="28"/>
      <w:szCs w:val="22"/>
      <w:lang w:eastAsia="en-US"/>
    </w:rPr>
  </w:style>
  <w:style w:type="paragraph" w:customStyle="1" w:styleId="Body">
    <w:name w:val="Body"/>
    <w:basedOn w:val="Normal"/>
    <w:rsid w:val="00A52ABB"/>
    <w:rPr>
      <w:rFonts w:ascii="Helvetica" w:eastAsiaTheme="minorHAnsi" w:hAnsi="Helvetica"/>
      <w:color w:val="000000"/>
      <w:sz w:val="22"/>
      <w:lang w:eastAsia="en-GB"/>
    </w:rPr>
  </w:style>
  <w:style w:type="paragraph" w:customStyle="1" w:styleId="wordsection1">
    <w:name w:val="wordsection1"/>
    <w:basedOn w:val="Normal"/>
    <w:uiPriority w:val="99"/>
    <w:rsid w:val="0078785E"/>
    <w:rPr>
      <w:rFonts w:ascii="Times New Roman" w:eastAsiaTheme="minorHAnsi" w:hAnsi="Times New Roman"/>
      <w:lang w:eastAsia="en-GB"/>
    </w:rPr>
  </w:style>
  <w:style w:type="paragraph" w:customStyle="1" w:styleId="Default">
    <w:name w:val="Default"/>
    <w:rsid w:val="00074C38"/>
    <w:pPr>
      <w:autoSpaceDE w:val="0"/>
      <w:autoSpaceDN w:val="0"/>
      <w:adjustRightInd w:val="0"/>
    </w:pPr>
    <w:rPr>
      <w:rFonts w:ascii="Arial" w:hAnsi="Arial" w:cs="Arial"/>
      <w:color w:val="000000"/>
      <w:sz w:val="24"/>
      <w:szCs w:val="24"/>
    </w:rPr>
  </w:style>
  <w:style w:type="paragraph" w:customStyle="1" w:styleId="type">
    <w:name w:val="type"/>
    <w:basedOn w:val="Normal"/>
    <w:rsid w:val="009C6DD1"/>
    <w:pPr>
      <w:spacing w:before="100" w:beforeAutospacing="1" w:after="100" w:afterAutospacing="1"/>
    </w:pPr>
    <w:rPr>
      <w:rFonts w:ascii="Times New Roman" w:eastAsia="Times New Roman" w:hAnsi="Times New Roman"/>
      <w:lang w:eastAsia="en-GB"/>
    </w:rPr>
  </w:style>
  <w:style w:type="paragraph" w:customStyle="1" w:styleId="Pa0">
    <w:name w:val="Pa0"/>
    <w:basedOn w:val="Default"/>
    <w:next w:val="Default"/>
    <w:uiPriority w:val="99"/>
    <w:rsid w:val="00EE0D09"/>
    <w:pPr>
      <w:spacing w:line="721" w:lineRule="atLeast"/>
    </w:pPr>
    <w:rPr>
      <w:rFonts w:ascii="Georgia" w:hAnsi="Georgia" w:cs="Times New Roman"/>
      <w:color w:val="auto"/>
    </w:rPr>
  </w:style>
  <w:style w:type="paragraph" w:customStyle="1" w:styleId="Pa1">
    <w:name w:val="Pa1"/>
    <w:basedOn w:val="Default"/>
    <w:next w:val="Default"/>
    <w:uiPriority w:val="99"/>
    <w:rsid w:val="00EE0D09"/>
    <w:pPr>
      <w:spacing w:line="321" w:lineRule="atLeast"/>
    </w:pPr>
    <w:rPr>
      <w:rFonts w:ascii="Georgia" w:hAnsi="Georgia" w:cs="Times New Roman"/>
      <w:color w:val="auto"/>
    </w:rPr>
  </w:style>
  <w:style w:type="character" w:styleId="FollowedHyperlink">
    <w:name w:val="FollowedHyperlink"/>
    <w:basedOn w:val="DefaultParagraphFont"/>
    <w:uiPriority w:val="99"/>
    <w:semiHidden/>
    <w:unhideWhenUsed/>
    <w:rsid w:val="00F05D9C"/>
    <w:rPr>
      <w:color w:val="800080" w:themeColor="followedHyperlink"/>
      <w:u w:val="single"/>
    </w:rPr>
  </w:style>
  <w:style w:type="character" w:styleId="Strong">
    <w:name w:val="Strong"/>
    <w:basedOn w:val="DefaultParagraphFont"/>
    <w:uiPriority w:val="22"/>
    <w:qFormat/>
    <w:rsid w:val="001A03A7"/>
    <w:rPr>
      <w:b/>
      <w:bCs/>
    </w:rPr>
  </w:style>
  <w:style w:type="character" w:customStyle="1" w:styleId="tgc">
    <w:name w:val="_tgc"/>
    <w:basedOn w:val="DefaultParagraphFont"/>
    <w:rsid w:val="001354BE"/>
  </w:style>
  <w:style w:type="character" w:customStyle="1" w:styleId="Heading3Char">
    <w:name w:val="Heading 3 Char"/>
    <w:basedOn w:val="DefaultParagraphFont"/>
    <w:link w:val="Heading3"/>
    <w:uiPriority w:val="9"/>
    <w:semiHidden/>
    <w:rsid w:val="0083437E"/>
    <w:rPr>
      <w:rFonts w:asciiTheme="majorHAnsi" w:eastAsiaTheme="majorEastAsia" w:hAnsiTheme="majorHAnsi" w:cstheme="majorBidi"/>
      <w:b/>
      <w:bCs/>
      <w:color w:val="4F81BD" w:themeColor="accent1"/>
      <w:sz w:val="28"/>
      <w:szCs w:val="22"/>
      <w:lang w:eastAsia="en-US"/>
    </w:rPr>
  </w:style>
  <w:style w:type="character" w:customStyle="1" w:styleId="Heading4Char">
    <w:name w:val="Heading 4 Char"/>
    <w:basedOn w:val="DefaultParagraphFont"/>
    <w:link w:val="Heading4"/>
    <w:uiPriority w:val="9"/>
    <w:semiHidden/>
    <w:rsid w:val="0083437E"/>
    <w:rPr>
      <w:rFonts w:asciiTheme="majorHAnsi" w:eastAsiaTheme="majorEastAsia" w:hAnsiTheme="majorHAnsi" w:cstheme="majorBidi"/>
      <w:b/>
      <w:bCs/>
      <w:i/>
      <w:iCs/>
      <w:color w:val="4F81BD" w:themeColor="accent1"/>
      <w:sz w:val="28"/>
      <w:szCs w:val="22"/>
      <w:lang w:eastAsia="en-US"/>
    </w:rPr>
  </w:style>
  <w:style w:type="paragraph" w:customStyle="1" w:styleId="WUBullets">
    <w:name w:val="&gt; WU Bullets"/>
    <w:basedOn w:val="Normal"/>
    <w:uiPriority w:val="99"/>
    <w:rsid w:val="00DE205C"/>
    <w:pPr>
      <w:numPr>
        <w:numId w:val="1"/>
      </w:numPr>
      <w:spacing w:after="80" w:line="312" w:lineRule="auto"/>
      <w:ind w:left="850" w:hanging="425"/>
    </w:pPr>
    <w:rPr>
      <w:rFonts w:eastAsiaTheme="minorHAnsi" w:cs="Arial"/>
      <w:color w:val="000000"/>
      <w:lang w:eastAsia="en-GB"/>
    </w:rPr>
  </w:style>
  <w:style w:type="character" w:customStyle="1" w:styleId="st1">
    <w:name w:val="st1"/>
    <w:basedOn w:val="DefaultParagraphFont"/>
    <w:rsid w:val="009439C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qFormat/>
    <w:rsid w:val="00A2116F"/>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A2116F"/>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
    <w:uiPriority w:val="99"/>
    <w:unhideWhenUsed/>
    <w:qFormat/>
    <w:rsid w:val="00A2116F"/>
    <w:rPr>
      <w:vertAlign w:val="superscript"/>
    </w:rPr>
  </w:style>
  <w:style w:type="character" w:customStyle="1" w:styleId="IndentedcontentitemChar">
    <w:name w:val="&gt; Indented content item Char"/>
    <w:basedOn w:val="DefaultParagraphFont"/>
    <w:link w:val="Indentedcontentitem"/>
    <w:uiPriority w:val="1"/>
    <w:locked/>
    <w:rsid w:val="00A50AC6"/>
    <w:rPr>
      <w:rFonts w:ascii="Arial" w:hAnsi="Arial" w:cs="Arial"/>
    </w:rPr>
  </w:style>
  <w:style w:type="paragraph" w:customStyle="1" w:styleId="Indentedcontentitem">
    <w:name w:val="&gt; Indented content item"/>
    <w:basedOn w:val="Normal"/>
    <w:link w:val="IndentedcontentitemChar"/>
    <w:uiPriority w:val="1"/>
    <w:rsid w:val="00A50AC6"/>
    <w:pPr>
      <w:spacing w:after="100" w:line="312" w:lineRule="auto"/>
      <w:ind w:left="284"/>
    </w:pPr>
    <w:rPr>
      <w:rFonts w:cs="Arial"/>
      <w:sz w:val="20"/>
      <w:szCs w:val="20"/>
      <w:lang w:eastAsia="en-GB"/>
    </w:rPr>
  </w:style>
  <w:style w:type="paragraph" w:styleId="Revision">
    <w:name w:val="Revision"/>
    <w:hidden/>
    <w:uiPriority w:val="99"/>
    <w:semiHidden/>
    <w:rsid w:val="00F1084B"/>
    <w:rPr>
      <w:rFonts w:ascii="Arial" w:hAnsi="Arial"/>
      <w:sz w:val="28"/>
      <w:szCs w:val="22"/>
      <w:lang w:eastAsia="en-US"/>
    </w:rPr>
  </w:style>
  <w:style w:type="paragraph" w:customStyle="1" w:styleId="WULastbullet">
    <w:name w:val="&gt; WU Last bullet"/>
    <w:basedOn w:val="Normal"/>
    <w:uiPriority w:val="3"/>
    <w:rsid w:val="00740E63"/>
    <w:pPr>
      <w:spacing w:line="312" w:lineRule="auto"/>
      <w:ind w:left="1004" w:hanging="360"/>
    </w:pPr>
    <w:rPr>
      <w:rFonts w:eastAsiaTheme="minorHAnsi" w:cs="Arial"/>
      <w:color w:val="000000"/>
      <w:lang w:eastAsia="en-GB"/>
    </w:rPr>
  </w:style>
  <w:style w:type="paragraph" w:customStyle="1" w:styleId="Parabeforeanother">
    <w:name w:val="&gt; Para before another"/>
    <w:basedOn w:val="Normal"/>
    <w:qFormat/>
    <w:rsid w:val="00425D00"/>
    <w:pPr>
      <w:spacing w:after="160" w:line="312" w:lineRule="auto"/>
    </w:pPr>
    <w:rPr>
      <w:rFonts w:cs="Arial"/>
    </w:rPr>
  </w:style>
  <w:style w:type="paragraph" w:customStyle="1" w:styleId="Parabeforenewsection">
    <w:name w:val="&gt; Para before new section"/>
    <w:basedOn w:val="Parabeforeanother"/>
    <w:qFormat/>
    <w:rsid w:val="00425D00"/>
    <w:pPr>
      <w:spacing w:after="680"/>
    </w:pPr>
    <w:rPr>
      <w:rFonts w:cs="Times New Roman"/>
    </w:rPr>
  </w:style>
  <w:style w:type="paragraph" w:customStyle="1" w:styleId="Bullet-followedbyothers">
    <w:name w:val="&gt; Bullet - followed by others"/>
    <w:basedOn w:val="Normal"/>
    <w:qFormat/>
    <w:rsid w:val="00425D00"/>
    <w:pPr>
      <w:numPr>
        <w:numId w:val="2"/>
      </w:numPr>
      <w:spacing w:after="40" w:line="312" w:lineRule="auto"/>
      <w:ind w:left="340" w:hanging="340"/>
    </w:pPr>
  </w:style>
  <w:style w:type="paragraph" w:customStyle="1" w:styleId="Bullet-lastingroup">
    <w:name w:val="&gt; Bullet - last in group"/>
    <w:basedOn w:val="Bullet-followedbyothers"/>
    <w:qFormat/>
    <w:rsid w:val="00425D00"/>
    <w:pPr>
      <w:spacing w:after="240"/>
    </w:pPr>
  </w:style>
  <w:style w:type="paragraph" w:customStyle="1" w:styleId="Title-numberedsectionspurple">
    <w:name w:val="&gt;Title - numbered sections purple"/>
    <w:basedOn w:val="Normal"/>
    <w:qFormat/>
    <w:rsid w:val="00425D00"/>
    <w:pPr>
      <w:keepNext/>
      <w:keepLines/>
      <w:pBdr>
        <w:bottom w:val="dotted" w:sz="4" w:space="1" w:color="auto"/>
      </w:pBdr>
      <w:spacing w:after="340" w:line="312" w:lineRule="auto"/>
      <w:ind w:left="709" w:hanging="709"/>
      <w:outlineLvl w:val="1"/>
    </w:pPr>
    <w:rPr>
      <w:rFonts w:eastAsia="Times New Roman"/>
      <w:b/>
      <w:bCs/>
      <w:color w:val="AF1685"/>
      <w:szCs w:val="26"/>
    </w:rPr>
  </w:style>
  <w:style w:type="paragraph" w:customStyle="1" w:styleId="Bullets-standard">
    <w:name w:val="&gt; Bullets - standard"/>
    <w:basedOn w:val="Normal"/>
    <w:qFormat/>
    <w:rsid w:val="00872C8D"/>
    <w:pPr>
      <w:numPr>
        <w:numId w:val="3"/>
      </w:numPr>
      <w:spacing w:after="60" w:line="312" w:lineRule="auto"/>
    </w:pPr>
    <w:rPr>
      <w:rFonts w:cs="Arial"/>
      <w:szCs w:val="28"/>
      <w:lang w:eastAsia="en-GB"/>
    </w:rPr>
  </w:style>
  <w:style w:type="table" w:customStyle="1" w:styleId="TableGrid1">
    <w:name w:val="Table Grid1"/>
    <w:basedOn w:val="TableNormal"/>
    <w:next w:val="TableGrid"/>
    <w:uiPriority w:val="59"/>
    <w:rsid w:val="00C1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C64D85"/>
  </w:style>
  <w:style w:type="character" w:styleId="Emphasis">
    <w:name w:val="Emphasis"/>
    <w:basedOn w:val="DefaultParagraphFont"/>
    <w:uiPriority w:val="20"/>
    <w:qFormat/>
    <w:rsid w:val="00160E65"/>
    <w:rPr>
      <w:i/>
      <w:iCs/>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596549"/>
    <w:pPr>
      <w:spacing w:after="160" w:line="240" w:lineRule="exact"/>
      <w:jc w:val="both"/>
    </w:pPr>
    <w:rPr>
      <w:rFonts w:ascii="Calibri" w:hAnsi="Calibri"/>
      <w:sz w:val="20"/>
      <w:szCs w:val="20"/>
      <w:vertAlign w:val="superscript"/>
      <w:lang w:eastAsia="en-GB"/>
    </w:rPr>
  </w:style>
  <w:style w:type="paragraph" w:styleId="BodyText">
    <w:name w:val="Body Text"/>
    <w:basedOn w:val="Normal"/>
    <w:link w:val="BodyTextChar"/>
    <w:uiPriority w:val="99"/>
    <w:unhideWhenUsed/>
    <w:rsid w:val="00983A27"/>
    <w:pPr>
      <w:keepLines/>
      <w:spacing w:before="240"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983A27"/>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1972">
      <w:bodyDiv w:val="1"/>
      <w:marLeft w:val="0"/>
      <w:marRight w:val="0"/>
      <w:marTop w:val="0"/>
      <w:marBottom w:val="0"/>
      <w:divBdr>
        <w:top w:val="none" w:sz="0" w:space="0" w:color="auto"/>
        <w:left w:val="none" w:sz="0" w:space="0" w:color="auto"/>
        <w:bottom w:val="none" w:sz="0" w:space="0" w:color="auto"/>
        <w:right w:val="none" w:sz="0" w:space="0" w:color="auto"/>
      </w:divBdr>
    </w:div>
    <w:div w:id="49427854">
      <w:bodyDiv w:val="1"/>
      <w:marLeft w:val="0"/>
      <w:marRight w:val="0"/>
      <w:marTop w:val="0"/>
      <w:marBottom w:val="0"/>
      <w:divBdr>
        <w:top w:val="none" w:sz="0" w:space="0" w:color="auto"/>
        <w:left w:val="none" w:sz="0" w:space="0" w:color="auto"/>
        <w:bottom w:val="none" w:sz="0" w:space="0" w:color="auto"/>
        <w:right w:val="none" w:sz="0" w:space="0" w:color="auto"/>
      </w:divBdr>
    </w:div>
    <w:div w:id="58524211">
      <w:bodyDiv w:val="1"/>
      <w:marLeft w:val="0"/>
      <w:marRight w:val="0"/>
      <w:marTop w:val="0"/>
      <w:marBottom w:val="0"/>
      <w:divBdr>
        <w:top w:val="none" w:sz="0" w:space="0" w:color="auto"/>
        <w:left w:val="none" w:sz="0" w:space="0" w:color="auto"/>
        <w:bottom w:val="none" w:sz="0" w:space="0" w:color="auto"/>
        <w:right w:val="none" w:sz="0" w:space="0" w:color="auto"/>
      </w:divBdr>
    </w:div>
    <w:div w:id="60908623">
      <w:bodyDiv w:val="1"/>
      <w:marLeft w:val="0"/>
      <w:marRight w:val="0"/>
      <w:marTop w:val="0"/>
      <w:marBottom w:val="0"/>
      <w:divBdr>
        <w:top w:val="none" w:sz="0" w:space="0" w:color="auto"/>
        <w:left w:val="none" w:sz="0" w:space="0" w:color="auto"/>
        <w:bottom w:val="none" w:sz="0" w:space="0" w:color="auto"/>
        <w:right w:val="none" w:sz="0" w:space="0" w:color="auto"/>
      </w:divBdr>
    </w:div>
    <w:div w:id="64957138">
      <w:bodyDiv w:val="1"/>
      <w:marLeft w:val="0"/>
      <w:marRight w:val="0"/>
      <w:marTop w:val="0"/>
      <w:marBottom w:val="0"/>
      <w:divBdr>
        <w:top w:val="none" w:sz="0" w:space="0" w:color="auto"/>
        <w:left w:val="none" w:sz="0" w:space="0" w:color="auto"/>
        <w:bottom w:val="none" w:sz="0" w:space="0" w:color="auto"/>
        <w:right w:val="none" w:sz="0" w:space="0" w:color="auto"/>
      </w:divBdr>
    </w:div>
    <w:div w:id="82730507">
      <w:bodyDiv w:val="1"/>
      <w:marLeft w:val="0"/>
      <w:marRight w:val="0"/>
      <w:marTop w:val="0"/>
      <w:marBottom w:val="0"/>
      <w:divBdr>
        <w:top w:val="none" w:sz="0" w:space="0" w:color="auto"/>
        <w:left w:val="none" w:sz="0" w:space="0" w:color="auto"/>
        <w:bottom w:val="none" w:sz="0" w:space="0" w:color="auto"/>
        <w:right w:val="none" w:sz="0" w:space="0" w:color="auto"/>
      </w:divBdr>
    </w:div>
    <w:div w:id="91630957">
      <w:bodyDiv w:val="1"/>
      <w:marLeft w:val="0"/>
      <w:marRight w:val="0"/>
      <w:marTop w:val="0"/>
      <w:marBottom w:val="0"/>
      <w:divBdr>
        <w:top w:val="none" w:sz="0" w:space="0" w:color="auto"/>
        <w:left w:val="none" w:sz="0" w:space="0" w:color="auto"/>
        <w:bottom w:val="none" w:sz="0" w:space="0" w:color="auto"/>
        <w:right w:val="none" w:sz="0" w:space="0" w:color="auto"/>
      </w:divBdr>
      <w:divsChild>
        <w:div w:id="36784357">
          <w:marLeft w:val="0"/>
          <w:marRight w:val="0"/>
          <w:marTop w:val="0"/>
          <w:marBottom w:val="0"/>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sChild>
                <w:div w:id="1435516628">
                  <w:marLeft w:val="0"/>
                  <w:marRight w:val="0"/>
                  <w:marTop w:val="0"/>
                  <w:marBottom w:val="0"/>
                  <w:divBdr>
                    <w:top w:val="none" w:sz="0" w:space="0" w:color="auto"/>
                    <w:left w:val="none" w:sz="0" w:space="0" w:color="auto"/>
                    <w:bottom w:val="none" w:sz="0" w:space="0" w:color="auto"/>
                    <w:right w:val="none" w:sz="0" w:space="0" w:color="auto"/>
                  </w:divBdr>
                  <w:divsChild>
                    <w:div w:id="1304890628">
                      <w:marLeft w:val="0"/>
                      <w:marRight w:val="0"/>
                      <w:marTop w:val="0"/>
                      <w:marBottom w:val="600"/>
                      <w:divBdr>
                        <w:top w:val="none" w:sz="0" w:space="0" w:color="auto"/>
                        <w:left w:val="none" w:sz="0" w:space="0" w:color="auto"/>
                        <w:bottom w:val="none" w:sz="0" w:space="0" w:color="auto"/>
                        <w:right w:val="none" w:sz="0" w:space="0" w:color="auto"/>
                      </w:divBdr>
                      <w:divsChild>
                        <w:div w:id="423116910">
                          <w:marLeft w:val="0"/>
                          <w:marRight w:val="0"/>
                          <w:marTop w:val="0"/>
                          <w:marBottom w:val="0"/>
                          <w:divBdr>
                            <w:top w:val="none" w:sz="0" w:space="0" w:color="auto"/>
                            <w:left w:val="none" w:sz="0" w:space="0" w:color="auto"/>
                            <w:bottom w:val="none" w:sz="0" w:space="0" w:color="auto"/>
                            <w:right w:val="none" w:sz="0" w:space="0" w:color="auto"/>
                          </w:divBdr>
                          <w:divsChild>
                            <w:div w:id="390929057">
                              <w:marLeft w:val="0"/>
                              <w:marRight w:val="0"/>
                              <w:marTop w:val="0"/>
                              <w:marBottom w:val="0"/>
                              <w:divBdr>
                                <w:top w:val="none" w:sz="0" w:space="0" w:color="auto"/>
                                <w:left w:val="none" w:sz="0" w:space="0" w:color="auto"/>
                                <w:bottom w:val="none" w:sz="0" w:space="0" w:color="auto"/>
                                <w:right w:val="none" w:sz="0" w:space="0" w:color="auto"/>
                              </w:divBdr>
                              <w:divsChild>
                                <w:div w:id="458643229">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8191140">
      <w:bodyDiv w:val="1"/>
      <w:marLeft w:val="0"/>
      <w:marRight w:val="0"/>
      <w:marTop w:val="0"/>
      <w:marBottom w:val="0"/>
      <w:divBdr>
        <w:top w:val="none" w:sz="0" w:space="0" w:color="auto"/>
        <w:left w:val="none" w:sz="0" w:space="0" w:color="auto"/>
        <w:bottom w:val="none" w:sz="0" w:space="0" w:color="auto"/>
        <w:right w:val="none" w:sz="0" w:space="0" w:color="auto"/>
      </w:divBdr>
    </w:div>
    <w:div w:id="130370015">
      <w:bodyDiv w:val="1"/>
      <w:marLeft w:val="0"/>
      <w:marRight w:val="0"/>
      <w:marTop w:val="0"/>
      <w:marBottom w:val="0"/>
      <w:divBdr>
        <w:top w:val="none" w:sz="0" w:space="0" w:color="auto"/>
        <w:left w:val="none" w:sz="0" w:space="0" w:color="auto"/>
        <w:bottom w:val="none" w:sz="0" w:space="0" w:color="auto"/>
        <w:right w:val="none" w:sz="0" w:space="0" w:color="auto"/>
      </w:divBdr>
      <w:divsChild>
        <w:div w:id="787895606">
          <w:marLeft w:val="0"/>
          <w:marRight w:val="0"/>
          <w:marTop w:val="0"/>
          <w:marBottom w:val="0"/>
          <w:divBdr>
            <w:top w:val="none" w:sz="0" w:space="0" w:color="auto"/>
            <w:left w:val="none" w:sz="0" w:space="0" w:color="auto"/>
            <w:bottom w:val="none" w:sz="0" w:space="0" w:color="auto"/>
            <w:right w:val="none" w:sz="0" w:space="0" w:color="auto"/>
          </w:divBdr>
          <w:divsChild>
            <w:div w:id="839544414">
              <w:marLeft w:val="0"/>
              <w:marRight w:val="0"/>
              <w:marTop w:val="0"/>
              <w:marBottom w:val="0"/>
              <w:divBdr>
                <w:top w:val="none" w:sz="0" w:space="0" w:color="auto"/>
                <w:left w:val="none" w:sz="0" w:space="0" w:color="auto"/>
                <w:bottom w:val="none" w:sz="0" w:space="0" w:color="auto"/>
                <w:right w:val="none" w:sz="0" w:space="0" w:color="auto"/>
              </w:divBdr>
              <w:divsChild>
                <w:div w:id="1246186">
                  <w:marLeft w:val="150"/>
                  <w:marRight w:val="0"/>
                  <w:marTop w:val="0"/>
                  <w:marBottom w:val="0"/>
                  <w:divBdr>
                    <w:top w:val="none" w:sz="0" w:space="0" w:color="auto"/>
                    <w:left w:val="none" w:sz="0" w:space="0" w:color="auto"/>
                    <w:bottom w:val="none" w:sz="0" w:space="0" w:color="auto"/>
                    <w:right w:val="none" w:sz="0" w:space="0" w:color="auto"/>
                  </w:divBdr>
                  <w:divsChild>
                    <w:div w:id="1341083794">
                      <w:marLeft w:val="0"/>
                      <w:marRight w:val="0"/>
                      <w:marTop w:val="0"/>
                      <w:marBottom w:val="225"/>
                      <w:divBdr>
                        <w:top w:val="none" w:sz="0" w:space="0" w:color="auto"/>
                        <w:left w:val="none" w:sz="0" w:space="0" w:color="auto"/>
                        <w:bottom w:val="none" w:sz="0" w:space="0" w:color="auto"/>
                        <w:right w:val="none" w:sz="0" w:space="0" w:color="auto"/>
                      </w:divBdr>
                      <w:divsChild>
                        <w:div w:id="608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8556">
      <w:bodyDiv w:val="1"/>
      <w:marLeft w:val="0"/>
      <w:marRight w:val="0"/>
      <w:marTop w:val="0"/>
      <w:marBottom w:val="0"/>
      <w:divBdr>
        <w:top w:val="none" w:sz="0" w:space="0" w:color="auto"/>
        <w:left w:val="none" w:sz="0" w:space="0" w:color="auto"/>
        <w:bottom w:val="none" w:sz="0" w:space="0" w:color="auto"/>
        <w:right w:val="none" w:sz="0" w:space="0" w:color="auto"/>
      </w:divBdr>
    </w:div>
    <w:div w:id="145321178">
      <w:bodyDiv w:val="1"/>
      <w:marLeft w:val="0"/>
      <w:marRight w:val="0"/>
      <w:marTop w:val="0"/>
      <w:marBottom w:val="0"/>
      <w:divBdr>
        <w:top w:val="none" w:sz="0" w:space="0" w:color="auto"/>
        <w:left w:val="none" w:sz="0" w:space="0" w:color="auto"/>
        <w:bottom w:val="none" w:sz="0" w:space="0" w:color="auto"/>
        <w:right w:val="none" w:sz="0" w:space="0" w:color="auto"/>
      </w:divBdr>
    </w:div>
    <w:div w:id="148328527">
      <w:bodyDiv w:val="1"/>
      <w:marLeft w:val="0"/>
      <w:marRight w:val="0"/>
      <w:marTop w:val="0"/>
      <w:marBottom w:val="0"/>
      <w:divBdr>
        <w:top w:val="none" w:sz="0" w:space="0" w:color="auto"/>
        <w:left w:val="none" w:sz="0" w:space="0" w:color="auto"/>
        <w:bottom w:val="none" w:sz="0" w:space="0" w:color="auto"/>
        <w:right w:val="none" w:sz="0" w:space="0" w:color="auto"/>
      </w:divBdr>
    </w:div>
    <w:div w:id="175660436">
      <w:bodyDiv w:val="1"/>
      <w:marLeft w:val="0"/>
      <w:marRight w:val="0"/>
      <w:marTop w:val="0"/>
      <w:marBottom w:val="0"/>
      <w:divBdr>
        <w:top w:val="none" w:sz="0" w:space="0" w:color="auto"/>
        <w:left w:val="none" w:sz="0" w:space="0" w:color="auto"/>
        <w:bottom w:val="none" w:sz="0" w:space="0" w:color="auto"/>
        <w:right w:val="none" w:sz="0" w:space="0" w:color="auto"/>
      </w:divBdr>
    </w:div>
    <w:div w:id="178008025">
      <w:bodyDiv w:val="1"/>
      <w:marLeft w:val="0"/>
      <w:marRight w:val="0"/>
      <w:marTop w:val="0"/>
      <w:marBottom w:val="0"/>
      <w:divBdr>
        <w:top w:val="none" w:sz="0" w:space="0" w:color="auto"/>
        <w:left w:val="none" w:sz="0" w:space="0" w:color="auto"/>
        <w:bottom w:val="none" w:sz="0" w:space="0" w:color="auto"/>
        <w:right w:val="none" w:sz="0" w:space="0" w:color="auto"/>
      </w:divBdr>
    </w:div>
    <w:div w:id="194779003">
      <w:bodyDiv w:val="1"/>
      <w:marLeft w:val="0"/>
      <w:marRight w:val="0"/>
      <w:marTop w:val="0"/>
      <w:marBottom w:val="0"/>
      <w:divBdr>
        <w:top w:val="none" w:sz="0" w:space="0" w:color="auto"/>
        <w:left w:val="none" w:sz="0" w:space="0" w:color="auto"/>
        <w:bottom w:val="none" w:sz="0" w:space="0" w:color="auto"/>
        <w:right w:val="none" w:sz="0" w:space="0" w:color="auto"/>
      </w:divBdr>
    </w:div>
    <w:div w:id="195655157">
      <w:bodyDiv w:val="1"/>
      <w:marLeft w:val="0"/>
      <w:marRight w:val="0"/>
      <w:marTop w:val="0"/>
      <w:marBottom w:val="0"/>
      <w:divBdr>
        <w:top w:val="none" w:sz="0" w:space="0" w:color="auto"/>
        <w:left w:val="none" w:sz="0" w:space="0" w:color="auto"/>
        <w:bottom w:val="none" w:sz="0" w:space="0" w:color="auto"/>
        <w:right w:val="none" w:sz="0" w:space="0" w:color="auto"/>
      </w:divBdr>
    </w:div>
    <w:div w:id="196352618">
      <w:bodyDiv w:val="1"/>
      <w:marLeft w:val="0"/>
      <w:marRight w:val="0"/>
      <w:marTop w:val="0"/>
      <w:marBottom w:val="0"/>
      <w:divBdr>
        <w:top w:val="none" w:sz="0" w:space="0" w:color="auto"/>
        <w:left w:val="none" w:sz="0" w:space="0" w:color="auto"/>
        <w:bottom w:val="none" w:sz="0" w:space="0" w:color="auto"/>
        <w:right w:val="none" w:sz="0" w:space="0" w:color="auto"/>
      </w:divBdr>
    </w:div>
    <w:div w:id="200943977">
      <w:bodyDiv w:val="1"/>
      <w:marLeft w:val="0"/>
      <w:marRight w:val="0"/>
      <w:marTop w:val="0"/>
      <w:marBottom w:val="0"/>
      <w:divBdr>
        <w:top w:val="none" w:sz="0" w:space="0" w:color="auto"/>
        <w:left w:val="none" w:sz="0" w:space="0" w:color="auto"/>
        <w:bottom w:val="none" w:sz="0" w:space="0" w:color="auto"/>
        <w:right w:val="none" w:sz="0" w:space="0" w:color="auto"/>
      </w:divBdr>
      <w:divsChild>
        <w:div w:id="347947843">
          <w:marLeft w:val="475"/>
          <w:marRight w:val="0"/>
          <w:marTop w:val="115"/>
          <w:marBottom w:val="0"/>
          <w:divBdr>
            <w:top w:val="none" w:sz="0" w:space="0" w:color="auto"/>
            <w:left w:val="none" w:sz="0" w:space="0" w:color="auto"/>
            <w:bottom w:val="none" w:sz="0" w:space="0" w:color="auto"/>
            <w:right w:val="none" w:sz="0" w:space="0" w:color="auto"/>
          </w:divBdr>
        </w:div>
      </w:divsChild>
    </w:div>
    <w:div w:id="204222664">
      <w:bodyDiv w:val="1"/>
      <w:marLeft w:val="0"/>
      <w:marRight w:val="0"/>
      <w:marTop w:val="0"/>
      <w:marBottom w:val="0"/>
      <w:divBdr>
        <w:top w:val="none" w:sz="0" w:space="0" w:color="auto"/>
        <w:left w:val="none" w:sz="0" w:space="0" w:color="auto"/>
        <w:bottom w:val="none" w:sz="0" w:space="0" w:color="auto"/>
        <w:right w:val="none" w:sz="0" w:space="0" w:color="auto"/>
      </w:divBdr>
    </w:div>
    <w:div w:id="211507206">
      <w:bodyDiv w:val="1"/>
      <w:marLeft w:val="0"/>
      <w:marRight w:val="0"/>
      <w:marTop w:val="0"/>
      <w:marBottom w:val="0"/>
      <w:divBdr>
        <w:top w:val="none" w:sz="0" w:space="0" w:color="auto"/>
        <w:left w:val="none" w:sz="0" w:space="0" w:color="auto"/>
        <w:bottom w:val="none" w:sz="0" w:space="0" w:color="auto"/>
        <w:right w:val="none" w:sz="0" w:space="0" w:color="auto"/>
      </w:divBdr>
    </w:div>
    <w:div w:id="219706524">
      <w:bodyDiv w:val="1"/>
      <w:marLeft w:val="0"/>
      <w:marRight w:val="0"/>
      <w:marTop w:val="0"/>
      <w:marBottom w:val="0"/>
      <w:divBdr>
        <w:top w:val="none" w:sz="0" w:space="0" w:color="auto"/>
        <w:left w:val="none" w:sz="0" w:space="0" w:color="auto"/>
        <w:bottom w:val="none" w:sz="0" w:space="0" w:color="auto"/>
        <w:right w:val="none" w:sz="0" w:space="0" w:color="auto"/>
      </w:divBdr>
    </w:div>
    <w:div w:id="227110000">
      <w:bodyDiv w:val="1"/>
      <w:marLeft w:val="0"/>
      <w:marRight w:val="0"/>
      <w:marTop w:val="0"/>
      <w:marBottom w:val="0"/>
      <w:divBdr>
        <w:top w:val="none" w:sz="0" w:space="0" w:color="auto"/>
        <w:left w:val="none" w:sz="0" w:space="0" w:color="auto"/>
        <w:bottom w:val="none" w:sz="0" w:space="0" w:color="auto"/>
        <w:right w:val="none" w:sz="0" w:space="0" w:color="auto"/>
      </w:divBdr>
      <w:divsChild>
        <w:div w:id="716243098">
          <w:marLeft w:val="562"/>
          <w:marRight w:val="0"/>
          <w:marTop w:val="0"/>
          <w:marBottom w:val="120"/>
          <w:divBdr>
            <w:top w:val="none" w:sz="0" w:space="0" w:color="auto"/>
            <w:left w:val="none" w:sz="0" w:space="0" w:color="auto"/>
            <w:bottom w:val="none" w:sz="0" w:space="0" w:color="auto"/>
            <w:right w:val="none" w:sz="0" w:space="0" w:color="auto"/>
          </w:divBdr>
        </w:div>
        <w:div w:id="733895092">
          <w:marLeft w:val="562"/>
          <w:marRight w:val="0"/>
          <w:marTop w:val="0"/>
          <w:marBottom w:val="120"/>
          <w:divBdr>
            <w:top w:val="none" w:sz="0" w:space="0" w:color="auto"/>
            <w:left w:val="none" w:sz="0" w:space="0" w:color="auto"/>
            <w:bottom w:val="none" w:sz="0" w:space="0" w:color="auto"/>
            <w:right w:val="none" w:sz="0" w:space="0" w:color="auto"/>
          </w:divBdr>
        </w:div>
        <w:div w:id="738986629">
          <w:marLeft w:val="562"/>
          <w:marRight w:val="0"/>
          <w:marTop w:val="0"/>
          <w:marBottom w:val="120"/>
          <w:divBdr>
            <w:top w:val="none" w:sz="0" w:space="0" w:color="auto"/>
            <w:left w:val="none" w:sz="0" w:space="0" w:color="auto"/>
            <w:bottom w:val="none" w:sz="0" w:space="0" w:color="auto"/>
            <w:right w:val="none" w:sz="0" w:space="0" w:color="auto"/>
          </w:divBdr>
        </w:div>
        <w:div w:id="994454003">
          <w:marLeft w:val="562"/>
          <w:marRight w:val="0"/>
          <w:marTop w:val="0"/>
          <w:marBottom w:val="120"/>
          <w:divBdr>
            <w:top w:val="none" w:sz="0" w:space="0" w:color="auto"/>
            <w:left w:val="none" w:sz="0" w:space="0" w:color="auto"/>
            <w:bottom w:val="none" w:sz="0" w:space="0" w:color="auto"/>
            <w:right w:val="none" w:sz="0" w:space="0" w:color="auto"/>
          </w:divBdr>
        </w:div>
        <w:div w:id="1074357597">
          <w:marLeft w:val="562"/>
          <w:marRight w:val="0"/>
          <w:marTop w:val="0"/>
          <w:marBottom w:val="120"/>
          <w:divBdr>
            <w:top w:val="none" w:sz="0" w:space="0" w:color="auto"/>
            <w:left w:val="none" w:sz="0" w:space="0" w:color="auto"/>
            <w:bottom w:val="none" w:sz="0" w:space="0" w:color="auto"/>
            <w:right w:val="none" w:sz="0" w:space="0" w:color="auto"/>
          </w:divBdr>
        </w:div>
        <w:div w:id="1121076884">
          <w:marLeft w:val="562"/>
          <w:marRight w:val="0"/>
          <w:marTop w:val="0"/>
          <w:marBottom w:val="120"/>
          <w:divBdr>
            <w:top w:val="none" w:sz="0" w:space="0" w:color="auto"/>
            <w:left w:val="none" w:sz="0" w:space="0" w:color="auto"/>
            <w:bottom w:val="none" w:sz="0" w:space="0" w:color="auto"/>
            <w:right w:val="none" w:sz="0" w:space="0" w:color="auto"/>
          </w:divBdr>
        </w:div>
        <w:div w:id="1375304462">
          <w:marLeft w:val="562"/>
          <w:marRight w:val="0"/>
          <w:marTop w:val="0"/>
          <w:marBottom w:val="120"/>
          <w:divBdr>
            <w:top w:val="none" w:sz="0" w:space="0" w:color="auto"/>
            <w:left w:val="none" w:sz="0" w:space="0" w:color="auto"/>
            <w:bottom w:val="none" w:sz="0" w:space="0" w:color="auto"/>
            <w:right w:val="none" w:sz="0" w:space="0" w:color="auto"/>
          </w:divBdr>
        </w:div>
        <w:div w:id="1388454492">
          <w:marLeft w:val="562"/>
          <w:marRight w:val="0"/>
          <w:marTop w:val="0"/>
          <w:marBottom w:val="120"/>
          <w:divBdr>
            <w:top w:val="none" w:sz="0" w:space="0" w:color="auto"/>
            <w:left w:val="none" w:sz="0" w:space="0" w:color="auto"/>
            <w:bottom w:val="none" w:sz="0" w:space="0" w:color="auto"/>
            <w:right w:val="none" w:sz="0" w:space="0" w:color="auto"/>
          </w:divBdr>
        </w:div>
        <w:div w:id="1796365560">
          <w:marLeft w:val="562"/>
          <w:marRight w:val="0"/>
          <w:marTop w:val="0"/>
          <w:marBottom w:val="120"/>
          <w:divBdr>
            <w:top w:val="none" w:sz="0" w:space="0" w:color="auto"/>
            <w:left w:val="none" w:sz="0" w:space="0" w:color="auto"/>
            <w:bottom w:val="none" w:sz="0" w:space="0" w:color="auto"/>
            <w:right w:val="none" w:sz="0" w:space="0" w:color="auto"/>
          </w:divBdr>
        </w:div>
        <w:div w:id="1834755665">
          <w:marLeft w:val="562"/>
          <w:marRight w:val="0"/>
          <w:marTop w:val="0"/>
          <w:marBottom w:val="120"/>
          <w:divBdr>
            <w:top w:val="none" w:sz="0" w:space="0" w:color="auto"/>
            <w:left w:val="none" w:sz="0" w:space="0" w:color="auto"/>
            <w:bottom w:val="none" w:sz="0" w:space="0" w:color="auto"/>
            <w:right w:val="none" w:sz="0" w:space="0" w:color="auto"/>
          </w:divBdr>
        </w:div>
      </w:divsChild>
    </w:div>
    <w:div w:id="246768062">
      <w:bodyDiv w:val="1"/>
      <w:marLeft w:val="0"/>
      <w:marRight w:val="0"/>
      <w:marTop w:val="0"/>
      <w:marBottom w:val="0"/>
      <w:divBdr>
        <w:top w:val="none" w:sz="0" w:space="0" w:color="auto"/>
        <w:left w:val="none" w:sz="0" w:space="0" w:color="auto"/>
        <w:bottom w:val="none" w:sz="0" w:space="0" w:color="auto"/>
        <w:right w:val="none" w:sz="0" w:space="0" w:color="auto"/>
      </w:divBdr>
    </w:div>
    <w:div w:id="248778338">
      <w:bodyDiv w:val="1"/>
      <w:marLeft w:val="0"/>
      <w:marRight w:val="0"/>
      <w:marTop w:val="0"/>
      <w:marBottom w:val="0"/>
      <w:divBdr>
        <w:top w:val="none" w:sz="0" w:space="0" w:color="auto"/>
        <w:left w:val="none" w:sz="0" w:space="0" w:color="auto"/>
        <w:bottom w:val="none" w:sz="0" w:space="0" w:color="auto"/>
        <w:right w:val="none" w:sz="0" w:space="0" w:color="auto"/>
      </w:divBdr>
    </w:div>
    <w:div w:id="250816774">
      <w:bodyDiv w:val="1"/>
      <w:marLeft w:val="0"/>
      <w:marRight w:val="0"/>
      <w:marTop w:val="0"/>
      <w:marBottom w:val="0"/>
      <w:divBdr>
        <w:top w:val="none" w:sz="0" w:space="0" w:color="auto"/>
        <w:left w:val="none" w:sz="0" w:space="0" w:color="auto"/>
        <w:bottom w:val="none" w:sz="0" w:space="0" w:color="auto"/>
        <w:right w:val="none" w:sz="0" w:space="0" w:color="auto"/>
      </w:divBdr>
    </w:div>
    <w:div w:id="256790764">
      <w:bodyDiv w:val="1"/>
      <w:marLeft w:val="0"/>
      <w:marRight w:val="0"/>
      <w:marTop w:val="0"/>
      <w:marBottom w:val="0"/>
      <w:divBdr>
        <w:top w:val="none" w:sz="0" w:space="0" w:color="auto"/>
        <w:left w:val="none" w:sz="0" w:space="0" w:color="auto"/>
        <w:bottom w:val="none" w:sz="0" w:space="0" w:color="auto"/>
        <w:right w:val="none" w:sz="0" w:space="0" w:color="auto"/>
      </w:divBdr>
    </w:div>
    <w:div w:id="267809755">
      <w:bodyDiv w:val="1"/>
      <w:marLeft w:val="0"/>
      <w:marRight w:val="0"/>
      <w:marTop w:val="0"/>
      <w:marBottom w:val="0"/>
      <w:divBdr>
        <w:top w:val="none" w:sz="0" w:space="0" w:color="auto"/>
        <w:left w:val="none" w:sz="0" w:space="0" w:color="auto"/>
        <w:bottom w:val="none" w:sz="0" w:space="0" w:color="auto"/>
        <w:right w:val="none" w:sz="0" w:space="0" w:color="auto"/>
      </w:divBdr>
    </w:div>
    <w:div w:id="269510246">
      <w:bodyDiv w:val="1"/>
      <w:marLeft w:val="0"/>
      <w:marRight w:val="0"/>
      <w:marTop w:val="0"/>
      <w:marBottom w:val="0"/>
      <w:divBdr>
        <w:top w:val="none" w:sz="0" w:space="0" w:color="auto"/>
        <w:left w:val="none" w:sz="0" w:space="0" w:color="auto"/>
        <w:bottom w:val="none" w:sz="0" w:space="0" w:color="auto"/>
        <w:right w:val="none" w:sz="0" w:space="0" w:color="auto"/>
      </w:divBdr>
    </w:div>
    <w:div w:id="272564724">
      <w:bodyDiv w:val="1"/>
      <w:marLeft w:val="0"/>
      <w:marRight w:val="0"/>
      <w:marTop w:val="0"/>
      <w:marBottom w:val="0"/>
      <w:divBdr>
        <w:top w:val="none" w:sz="0" w:space="0" w:color="auto"/>
        <w:left w:val="none" w:sz="0" w:space="0" w:color="auto"/>
        <w:bottom w:val="none" w:sz="0" w:space="0" w:color="auto"/>
        <w:right w:val="none" w:sz="0" w:space="0" w:color="auto"/>
      </w:divBdr>
    </w:div>
    <w:div w:id="280574970">
      <w:bodyDiv w:val="1"/>
      <w:marLeft w:val="0"/>
      <w:marRight w:val="0"/>
      <w:marTop w:val="0"/>
      <w:marBottom w:val="0"/>
      <w:divBdr>
        <w:top w:val="none" w:sz="0" w:space="0" w:color="auto"/>
        <w:left w:val="none" w:sz="0" w:space="0" w:color="auto"/>
        <w:bottom w:val="none" w:sz="0" w:space="0" w:color="auto"/>
        <w:right w:val="none" w:sz="0" w:space="0" w:color="auto"/>
      </w:divBdr>
    </w:div>
    <w:div w:id="287901638">
      <w:bodyDiv w:val="1"/>
      <w:marLeft w:val="0"/>
      <w:marRight w:val="0"/>
      <w:marTop w:val="0"/>
      <w:marBottom w:val="0"/>
      <w:divBdr>
        <w:top w:val="none" w:sz="0" w:space="0" w:color="auto"/>
        <w:left w:val="none" w:sz="0" w:space="0" w:color="auto"/>
        <w:bottom w:val="none" w:sz="0" w:space="0" w:color="auto"/>
        <w:right w:val="none" w:sz="0" w:space="0" w:color="auto"/>
      </w:divBdr>
    </w:div>
    <w:div w:id="321158451">
      <w:bodyDiv w:val="1"/>
      <w:marLeft w:val="0"/>
      <w:marRight w:val="0"/>
      <w:marTop w:val="0"/>
      <w:marBottom w:val="0"/>
      <w:divBdr>
        <w:top w:val="none" w:sz="0" w:space="0" w:color="auto"/>
        <w:left w:val="none" w:sz="0" w:space="0" w:color="auto"/>
        <w:bottom w:val="none" w:sz="0" w:space="0" w:color="auto"/>
        <w:right w:val="none" w:sz="0" w:space="0" w:color="auto"/>
      </w:divBdr>
    </w:div>
    <w:div w:id="323628248">
      <w:bodyDiv w:val="1"/>
      <w:marLeft w:val="0"/>
      <w:marRight w:val="0"/>
      <w:marTop w:val="0"/>
      <w:marBottom w:val="0"/>
      <w:divBdr>
        <w:top w:val="none" w:sz="0" w:space="0" w:color="auto"/>
        <w:left w:val="none" w:sz="0" w:space="0" w:color="auto"/>
        <w:bottom w:val="none" w:sz="0" w:space="0" w:color="auto"/>
        <w:right w:val="none" w:sz="0" w:space="0" w:color="auto"/>
      </w:divBdr>
    </w:div>
    <w:div w:id="340934741">
      <w:bodyDiv w:val="1"/>
      <w:marLeft w:val="0"/>
      <w:marRight w:val="0"/>
      <w:marTop w:val="0"/>
      <w:marBottom w:val="0"/>
      <w:divBdr>
        <w:top w:val="none" w:sz="0" w:space="0" w:color="auto"/>
        <w:left w:val="none" w:sz="0" w:space="0" w:color="auto"/>
        <w:bottom w:val="none" w:sz="0" w:space="0" w:color="auto"/>
        <w:right w:val="none" w:sz="0" w:space="0" w:color="auto"/>
      </w:divBdr>
    </w:div>
    <w:div w:id="355084802">
      <w:bodyDiv w:val="1"/>
      <w:marLeft w:val="0"/>
      <w:marRight w:val="0"/>
      <w:marTop w:val="0"/>
      <w:marBottom w:val="0"/>
      <w:divBdr>
        <w:top w:val="none" w:sz="0" w:space="0" w:color="auto"/>
        <w:left w:val="none" w:sz="0" w:space="0" w:color="auto"/>
        <w:bottom w:val="none" w:sz="0" w:space="0" w:color="auto"/>
        <w:right w:val="none" w:sz="0" w:space="0" w:color="auto"/>
      </w:divBdr>
    </w:div>
    <w:div w:id="356851732">
      <w:bodyDiv w:val="1"/>
      <w:marLeft w:val="0"/>
      <w:marRight w:val="0"/>
      <w:marTop w:val="0"/>
      <w:marBottom w:val="0"/>
      <w:divBdr>
        <w:top w:val="none" w:sz="0" w:space="0" w:color="auto"/>
        <w:left w:val="none" w:sz="0" w:space="0" w:color="auto"/>
        <w:bottom w:val="none" w:sz="0" w:space="0" w:color="auto"/>
        <w:right w:val="none" w:sz="0" w:space="0" w:color="auto"/>
      </w:divBdr>
    </w:div>
    <w:div w:id="372578367">
      <w:bodyDiv w:val="1"/>
      <w:marLeft w:val="0"/>
      <w:marRight w:val="0"/>
      <w:marTop w:val="0"/>
      <w:marBottom w:val="0"/>
      <w:divBdr>
        <w:top w:val="none" w:sz="0" w:space="0" w:color="auto"/>
        <w:left w:val="none" w:sz="0" w:space="0" w:color="auto"/>
        <w:bottom w:val="none" w:sz="0" w:space="0" w:color="auto"/>
        <w:right w:val="none" w:sz="0" w:space="0" w:color="auto"/>
      </w:divBdr>
    </w:div>
    <w:div w:id="398600774">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225"/>
          <w:marRight w:val="-225"/>
          <w:marTop w:val="0"/>
          <w:marBottom w:val="0"/>
          <w:divBdr>
            <w:top w:val="none" w:sz="0" w:space="0" w:color="auto"/>
            <w:left w:val="none" w:sz="0" w:space="0" w:color="auto"/>
            <w:bottom w:val="none" w:sz="0" w:space="0" w:color="auto"/>
            <w:right w:val="none" w:sz="0" w:space="0" w:color="auto"/>
          </w:divBdr>
          <w:divsChild>
            <w:div w:id="1925218011">
              <w:marLeft w:val="0"/>
              <w:marRight w:val="0"/>
              <w:marTop w:val="0"/>
              <w:marBottom w:val="0"/>
              <w:divBdr>
                <w:top w:val="none" w:sz="0" w:space="0" w:color="auto"/>
                <w:left w:val="none" w:sz="0" w:space="0" w:color="auto"/>
                <w:bottom w:val="none" w:sz="0" w:space="0" w:color="auto"/>
                <w:right w:val="none" w:sz="0" w:space="0" w:color="auto"/>
              </w:divBdr>
              <w:divsChild>
                <w:div w:id="310451628">
                  <w:marLeft w:val="0"/>
                  <w:marRight w:val="0"/>
                  <w:marTop w:val="0"/>
                  <w:marBottom w:val="0"/>
                  <w:divBdr>
                    <w:top w:val="none" w:sz="0" w:space="0" w:color="auto"/>
                    <w:left w:val="none" w:sz="0" w:space="0" w:color="auto"/>
                    <w:bottom w:val="none" w:sz="0" w:space="0" w:color="auto"/>
                    <w:right w:val="none" w:sz="0" w:space="0" w:color="auto"/>
                  </w:divBdr>
                  <w:divsChild>
                    <w:div w:id="715933628">
                      <w:marLeft w:val="0"/>
                      <w:marRight w:val="0"/>
                      <w:marTop w:val="0"/>
                      <w:marBottom w:val="0"/>
                      <w:divBdr>
                        <w:top w:val="none" w:sz="0" w:space="0" w:color="auto"/>
                        <w:left w:val="none" w:sz="0" w:space="0" w:color="auto"/>
                        <w:bottom w:val="none" w:sz="0" w:space="0" w:color="auto"/>
                        <w:right w:val="none" w:sz="0" w:space="0" w:color="auto"/>
                      </w:divBdr>
                      <w:divsChild>
                        <w:div w:id="1811435543">
                          <w:marLeft w:val="0"/>
                          <w:marRight w:val="0"/>
                          <w:marTop w:val="0"/>
                          <w:marBottom w:val="0"/>
                          <w:divBdr>
                            <w:top w:val="none" w:sz="0" w:space="0" w:color="auto"/>
                            <w:left w:val="none" w:sz="0" w:space="0" w:color="auto"/>
                            <w:bottom w:val="none" w:sz="0" w:space="0" w:color="auto"/>
                            <w:right w:val="none" w:sz="0" w:space="0" w:color="auto"/>
                          </w:divBdr>
                          <w:divsChild>
                            <w:div w:id="815490151">
                              <w:marLeft w:val="0"/>
                              <w:marRight w:val="0"/>
                              <w:marTop w:val="0"/>
                              <w:marBottom w:val="0"/>
                              <w:divBdr>
                                <w:top w:val="none" w:sz="0" w:space="0" w:color="auto"/>
                                <w:left w:val="none" w:sz="0" w:space="0" w:color="auto"/>
                                <w:bottom w:val="none" w:sz="0" w:space="0" w:color="auto"/>
                                <w:right w:val="none" w:sz="0" w:space="0" w:color="auto"/>
                              </w:divBdr>
                              <w:divsChild>
                                <w:div w:id="831799508">
                                  <w:marLeft w:val="0"/>
                                  <w:marRight w:val="0"/>
                                  <w:marTop w:val="0"/>
                                  <w:marBottom w:val="0"/>
                                  <w:divBdr>
                                    <w:top w:val="none" w:sz="0" w:space="0" w:color="auto"/>
                                    <w:left w:val="none" w:sz="0" w:space="0" w:color="auto"/>
                                    <w:bottom w:val="none" w:sz="0" w:space="0" w:color="auto"/>
                                    <w:right w:val="none" w:sz="0" w:space="0" w:color="auto"/>
                                  </w:divBdr>
                                  <w:divsChild>
                                    <w:div w:id="146747609">
                                      <w:marLeft w:val="0"/>
                                      <w:marRight w:val="0"/>
                                      <w:marTop w:val="0"/>
                                      <w:marBottom w:val="0"/>
                                      <w:divBdr>
                                        <w:top w:val="none" w:sz="0" w:space="0" w:color="auto"/>
                                        <w:left w:val="none" w:sz="0" w:space="0" w:color="auto"/>
                                        <w:bottom w:val="none" w:sz="0" w:space="0" w:color="auto"/>
                                        <w:right w:val="none" w:sz="0" w:space="0" w:color="auto"/>
                                      </w:divBdr>
                                      <w:divsChild>
                                        <w:div w:id="1573614460">
                                          <w:marLeft w:val="0"/>
                                          <w:marRight w:val="0"/>
                                          <w:marTop w:val="0"/>
                                          <w:marBottom w:val="450"/>
                                          <w:divBdr>
                                            <w:top w:val="none" w:sz="0" w:space="0" w:color="auto"/>
                                            <w:left w:val="none" w:sz="0" w:space="0" w:color="auto"/>
                                            <w:bottom w:val="none" w:sz="0" w:space="0" w:color="auto"/>
                                            <w:right w:val="none" w:sz="0" w:space="0" w:color="auto"/>
                                          </w:divBdr>
                                          <w:divsChild>
                                            <w:div w:id="197012642">
                                              <w:marLeft w:val="0"/>
                                              <w:marRight w:val="0"/>
                                              <w:marTop w:val="0"/>
                                              <w:marBottom w:val="0"/>
                                              <w:divBdr>
                                                <w:top w:val="none" w:sz="0" w:space="0" w:color="auto"/>
                                                <w:left w:val="none" w:sz="0" w:space="0" w:color="auto"/>
                                                <w:bottom w:val="none" w:sz="0" w:space="0" w:color="auto"/>
                                                <w:right w:val="none" w:sz="0" w:space="0" w:color="auto"/>
                                              </w:divBdr>
                                              <w:divsChild>
                                                <w:div w:id="1235235584">
                                                  <w:marLeft w:val="0"/>
                                                  <w:marRight w:val="0"/>
                                                  <w:marTop w:val="0"/>
                                                  <w:marBottom w:val="0"/>
                                                  <w:divBdr>
                                                    <w:top w:val="none" w:sz="0" w:space="0" w:color="auto"/>
                                                    <w:left w:val="none" w:sz="0" w:space="0" w:color="auto"/>
                                                    <w:bottom w:val="none" w:sz="0" w:space="0" w:color="auto"/>
                                                    <w:right w:val="none" w:sz="0" w:space="0" w:color="auto"/>
                                                  </w:divBdr>
                                                  <w:divsChild>
                                                    <w:div w:id="2097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0532">
                                      <w:marLeft w:val="0"/>
                                      <w:marRight w:val="0"/>
                                      <w:marTop w:val="0"/>
                                      <w:marBottom w:val="0"/>
                                      <w:divBdr>
                                        <w:top w:val="none" w:sz="0" w:space="0" w:color="auto"/>
                                        <w:left w:val="none" w:sz="0" w:space="0" w:color="auto"/>
                                        <w:bottom w:val="none" w:sz="0" w:space="0" w:color="auto"/>
                                        <w:right w:val="none" w:sz="0" w:space="0" w:color="auto"/>
                                      </w:divBdr>
                                      <w:divsChild>
                                        <w:div w:id="66851862">
                                          <w:marLeft w:val="0"/>
                                          <w:marRight w:val="0"/>
                                          <w:marTop w:val="0"/>
                                          <w:marBottom w:val="450"/>
                                          <w:divBdr>
                                            <w:top w:val="none" w:sz="0" w:space="0" w:color="auto"/>
                                            <w:left w:val="none" w:sz="0" w:space="0" w:color="auto"/>
                                            <w:bottom w:val="none" w:sz="0" w:space="0" w:color="auto"/>
                                            <w:right w:val="none" w:sz="0" w:space="0" w:color="auto"/>
                                          </w:divBdr>
                                          <w:divsChild>
                                            <w:div w:id="880559599">
                                              <w:marLeft w:val="0"/>
                                              <w:marRight w:val="0"/>
                                              <w:marTop w:val="0"/>
                                              <w:marBottom w:val="0"/>
                                              <w:divBdr>
                                                <w:top w:val="none" w:sz="0" w:space="0" w:color="auto"/>
                                                <w:left w:val="none" w:sz="0" w:space="0" w:color="auto"/>
                                                <w:bottom w:val="none" w:sz="0" w:space="0" w:color="auto"/>
                                                <w:right w:val="none" w:sz="0" w:space="0" w:color="auto"/>
                                              </w:divBdr>
                                              <w:divsChild>
                                                <w:div w:id="1279794099">
                                                  <w:marLeft w:val="0"/>
                                                  <w:marRight w:val="0"/>
                                                  <w:marTop w:val="0"/>
                                                  <w:marBottom w:val="0"/>
                                                  <w:divBdr>
                                                    <w:top w:val="none" w:sz="0" w:space="0" w:color="auto"/>
                                                    <w:left w:val="none" w:sz="0" w:space="0" w:color="auto"/>
                                                    <w:bottom w:val="none" w:sz="0" w:space="0" w:color="auto"/>
                                                    <w:right w:val="none" w:sz="0" w:space="0" w:color="auto"/>
                                                  </w:divBdr>
                                                  <w:divsChild>
                                                    <w:div w:id="631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6006">
                                      <w:marLeft w:val="0"/>
                                      <w:marRight w:val="0"/>
                                      <w:marTop w:val="0"/>
                                      <w:marBottom w:val="0"/>
                                      <w:divBdr>
                                        <w:top w:val="none" w:sz="0" w:space="0" w:color="auto"/>
                                        <w:left w:val="none" w:sz="0" w:space="0" w:color="auto"/>
                                        <w:bottom w:val="none" w:sz="0" w:space="0" w:color="auto"/>
                                        <w:right w:val="none" w:sz="0" w:space="0" w:color="auto"/>
                                      </w:divBdr>
                                      <w:divsChild>
                                        <w:div w:id="1721859978">
                                          <w:marLeft w:val="0"/>
                                          <w:marRight w:val="0"/>
                                          <w:marTop w:val="0"/>
                                          <w:marBottom w:val="0"/>
                                          <w:divBdr>
                                            <w:top w:val="none" w:sz="0" w:space="0" w:color="auto"/>
                                            <w:left w:val="none" w:sz="0" w:space="0" w:color="auto"/>
                                            <w:bottom w:val="none" w:sz="0" w:space="0" w:color="auto"/>
                                            <w:right w:val="none" w:sz="0" w:space="0" w:color="auto"/>
                                          </w:divBdr>
                                          <w:divsChild>
                                            <w:div w:id="1057624428">
                                              <w:marLeft w:val="0"/>
                                              <w:marRight w:val="0"/>
                                              <w:marTop w:val="0"/>
                                              <w:marBottom w:val="0"/>
                                              <w:divBdr>
                                                <w:top w:val="none" w:sz="0" w:space="0" w:color="auto"/>
                                                <w:left w:val="none" w:sz="0" w:space="0" w:color="auto"/>
                                                <w:bottom w:val="none" w:sz="0" w:space="0" w:color="auto"/>
                                                <w:right w:val="none" w:sz="0" w:space="0" w:color="auto"/>
                                              </w:divBdr>
                                              <w:divsChild>
                                                <w:div w:id="1149516042">
                                                  <w:marLeft w:val="0"/>
                                                  <w:marRight w:val="0"/>
                                                  <w:marTop w:val="0"/>
                                                  <w:marBottom w:val="0"/>
                                                  <w:divBdr>
                                                    <w:top w:val="none" w:sz="0" w:space="0" w:color="auto"/>
                                                    <w:left w:val="none" w:sz="0" w:space="0" w:color="auto"/>
                                                    <w:bottom w:val="none" w:sz="0" w:space="0" w:color="auto"/>
                                                    <w:right w:val="none" w:sz="0" w:space="0" w:color="auto"/>
                                                  </w:divBdr>
                                                  <w:divsChild>
                                                    <w:div w:id="1133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911">
                                      <w:marLeft w:val="0"/>
                                      <w:marRight w:val="0"/>
                                      <w:marTop w:val="0"/>
                                      <w:marBottom w:val="0"/>
                                      <w:divBdr>
                                        <w:top w:val="none" w:sz="0" w:space="0" w:color="auto"/>
                                        <w:left w:val="none" w:sz="0" w:space="0" w:color="auto"/>
                                        <w:bottom w:val="none" w:sz="0" w:space="0" w:color="auto"/>
                                        <w:right w:val="none" w:sz="0" w:space="0" w:color="auto"/>
                                      </w:divBdr>
                                      <w:divsChild>
                                        <w:div w:id="1458986158">
                                          <w:marLeft w:val="0"/>
                                          <w:marRight w:val="0"/>
                                          <w:marTop w:val="0"/>
                                          <w:marBottom w:val="0"/>
                                          <w:divBdr>
                                            <w:top w:val="none" w:sz="0" w:space="0" w:color="auto"/>
                                            <w:left w:val="none" w:sz="0" w:space="0" w:color="auto"/>
                                            <w:bottom w:val="none" w:sz="0" w:space="0" w:color="auto"/>
                                            <w:right w:val="none" w:sz="0" w:space="0" w:color="auto"/>
                                          </w:divBdr>
                                          <w:divsChild>
                                            <w:div w:id="157042855">
                                              <w:marLeft w:val="0"/>
                                              <w:marRight w:val="0"/>
                                              <w:marTop w:val="0"/>
                                              <w:marBottom w:val="0"/>
                                              <w:divBdr>
                                                <w:top w:val="none" w:sz="0" w:space="0" w:color="auto"/>
                                                <w:left w:val="none" w:sz="0" w:space="0" w:color="auto"/>
                                                <w:bottom w:val="none" w:sz="0" w:space="0" w:color="auto"/>
                                                <w:right w:val="none" w:sz="0" w:space="0" w:color="auto"/>
                                              </w:divBdr>
                                              <w:divsChild>
                                                <w:div w:id="1043407881">
                                                  <w:marLeft w:val="0"/>
                                                  <w:marRight w:val="0"/>
                                                  <w:marTop w:val="0"/>
                                                  <w:marBottom w:val="0"/>
                                                  <w:divBdr>
                                                    <w:top w:val="none" w:sz="0" w:space="0" w:color="auto"/>
                                                    <w:left w:val="none" w:sz="0" w:space="0" w:color="auto"/>
                                                    <w:bottom w:val="none" w:sz="0" w:space="0" w:color="auto"/>
                                                    <w:right w:val="none" w:sz="0" w:space="0" w:color="auto"/>
                                                  </w:divBdr>
                                                  <w:divsChild>
                                                    <w:div w:id="362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0521">
                                      <w:marLeft w:val="0"/>
                                      <w:marRight w:val="0"/>
                                      <w:marTop w:val="0"/>
                                      <w:marBottom w:val="0"/>
                                      <w:divBdr>
                                        <w:top w:val="none" w:sz="0" w:space="0" w:color="auto"/>
                                        <w:left w:val="none" w:sz="0" w:space="0" w:color="auto"/>
                                        <w:bottom w:val="none" w:sz="0" w:space="0" w:color="auto"/>
                                        <w:right w:val="none" w:sz="0" w:space="0" w:color="auto"/>
                                      </w:divBdr>
                                      <w:divsChild>
                                        <w:div w:id="493910612">
                                          <w:marLeft w:val="0"/>
                                          <w:marRight w:val="0"/>
                                          <w:marTop w:val="0"/>
                                          <w:marBottom w:val="0"/>
                                          <w:divBdr>
                                            <w:top w:val="none" w:sz="0" w:space="0" w:color="auto"/>
                                            <w:left w:val="none" w:sz="0" w:space="0" w:color="auto"/>
                                            <w:bottom w:val="none" w:sz="0" w:space="0" w:color="auto"/>
                                            <w:right w:val="none" w:sz="0" w:space="0" w:color="auto"/>
                                          </w:divBdr>
                                          <w:divsChild>
                                            <w:div w:id="549347289">
                                              <w:marLeft w:val="0"/>
                                              <w:marRight w:val="0"/>
                                              <w:marTop w:val="0"/>
                                              <w:marBottom w:val="0"/>
                                              <w:divBdr>
                                                <w:top w:val="none" w:sz="0" w:space="0" w:color="auto"/>
                                                <w:left w:val="none" w:sz="0" w:space="0" w:color="auto"/>
                                                <w:bottom w:val="none" w:sz="0" w:space="0" w:color="auto"/>
                                                <w:right w:val="none" w:sz="0" w:space="0" w:color="auto"/>
                                              </w:divBdr>
                                              <w:divsChild>
                                                <w:div w:id="1564176513">
                                                  <w:marLeft w:val="0"/>
                                                  <w:marRight w:val="0"/>
                                                  <w:marTop w:val="0"/>
                                                  <w:marBottom w:val="0"/>
                                                  <w:divBdr>
                                                    <w:top w:val="none" w:sz="0" w:space="0" w:color="auto"/>
                                                    <w:left w:val="none" w:sz="0" w:space="0" w:color="auto"/>
                                                    <w:bottom w:val="none" w:sz="0" w:space="0" w:color="auto"/>
                                                    <w:right w:val="none" w:sz="0" w:space="0" w:color="auto"/>
                                                  </w:divBdr>
                                                  <w:divsChild>
                                                    <w:div w:id="1363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2248">
                                      <w:marLeft w:val="0"/>
                                      <w:marRight w:val="0"/>
                                      <w:marTop w:val="0"/>
                                      <w:marBottom w:val="0"/>
                                      <w:divBdr>
                                        <w:top w:val="none" w:sz="0" w:space="0" w:color="auto"/>
                                        <w:left w:val="none" w:sz="0" w:space="0" w:color="auto"/>
                                        <w:bottom w:val="none" w:sz="0" w:space="0" w:color="auto"/>
                                        <w:right w:val="none" w:sz="0" w:space="0" w:color="auto"/>
                                      </w:divBdr>
                                      <w:divsChild>
                                        <w:div w:id="1199440156">
                                          <w:marLeft w:val="0"/>
                                          <w:marRight w:val="0"/>
                                          <w:marTop w:val="0"/>
                                          <w:marBottom w:val="0"/>
                                          <w:divBdr>
                                            <w:top w:val="none" w:sz="0" w:space="0" w:color="auto"/>
                                            <w:left w:val="none" w:sz="0" w:space="0" w:color="auto"/>
                                            <w:bottom w:val="none" w:sz="0" w:space="0" w:color="auto"/>
                                            <w:right w:val="none" w:sz="0" w:space="0" w:color="auto"/>
                                          </w:divBdr>
                                          <w:divsChild>
                                            <w:div w:id="1063067158">
                                              <w:marLeft w:val="0"/>
                                              <w:marRight w:val="0"/>
                                              <w:marTop w:val="0"/>
                                              <w:marBottom w:val="0"/>
                                              <w:divBdr>
                                                <w:top w:val="none" w:sz="0" w:space="0" w:color="auto"/>
                                                <w:left w:val="none" w:sz="0" w:space="0" w:color="auto"/>
                                                <w:bottom w:val="none" w:sz="0" w:space="0" w:color="auto"/>
                                                <w:right w:val="none" w:sz="0" w:space="0" w:color="auto"/>
                                              </w:divBdr>
                                              <w:divsChild>
                                                <w:div w:id="833371959">
                                                  <w:marLeft w:val="0"/>
                                                  <w:marRight w:val="0"/>
                                                  <w:marTop w:val="0"/>
                                                  <w:marBottom w:val="0"/>
                                                  <w:divBdr>
                                                    <w:top w:val="none" w:sz="0" w:space="0" w:color="auto"/>
                                                    <w:left w:val="none" w:sz="0" w:space="0" w:color="auto"/>
                                                    <w:bottom w:val="none" w:sz="0" w:space="0" w:color="auto"/>
                                                    <w:right w:val="none" w:sz="0" w:space="0" w:color="auto"/>
                                                  </w:divBdr>
                                                  <w:divsChild>
                                                    <w:div w:id="126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739478914">
                                          <w:marLeft w:val="0"/>
                                          <w:marRight w:val="0"/>
                                          <w:marTop w:val="0"/>
                                          <w:marBottom w:val="45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sChild>
                                                <w:div w:id="1995601529">
                                                  <w:marLeft w:val="0"/>
                                                  <w:marRight w:val="0"/>
                                                  <w:marTop w:val="0"/>
                                                  <w:marBottom w:val="0"/>
                                                  <w:divBdr>
                                                    <w:top w:val="none" w:sz="0" w:space="0" w:color="auto"/>
                                                    <w:left w:val="none" w:sz="0" w:space="0" w:color="auto"/>
                                                    <w:bottom w:val="none" w:sz="0" w:space="0" w:color="auto"/>
                                                    <w:right w:val="none" w:sz="0" w:space="0" w:color="auto"/>
                                                  </w:divBdr>
                                                  <w:divsChild>
                                                    <w:div w:id="1271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228">
                                      <w:marLeft w:val="0"/>
                                      <w:marRight w:val="0"/>
                                      <w:marTop w:val="0"/>
                                      <w:marBottom w:val="0"/>
                                      <w:divBdr>
                                        <w:top w:val="none" w:sz="0" w:space="0" w:color="auto"/>
                                        <w:left w:val="none" w:sz="0" w:space="0" w:color="auto"/>
                                        <w:bottom w:val="none" w:sz="0" w:space="0" w:color="auto"/>
                                        <w:right w:val="none" w:sz="0" w:space="0" w:color="auto"/>
                                      </w:divBdr>
                                      <w:divsChild>
                                        <w:div w:id="1802528734">
                                          <w:marLeft w:val="0"/>
                                          <w:marRight w:val="0"/>
                                          <w:marTop w:val="0"/>
                                          <w:marBottom w:val="450"/>
                                          <w:divBdr>
                                            <w:top w:val="none" w:sz="0" w:space="0" w:color="auto"/>
                                            <w:left w:val="none" w:sz="0" w:space="0" w:color="auto"/>
                                            <w:bottom w:val="none" w:sz="0" w:space="0" w:color="auto"/>
                                            <w:right w:val="none" w:sz="0" w:space="0" w:color="auto"/>
                                          </w:divBdr>
                                          <w:divsChild>
                                            <w:div w:id="1556772518">
                                              <w:marLeft w:val="0"/>
                                              <w:marRight w:val="0"/>
                                              <w:marTop w:val="0"/>
                                              <w:marBottom w:val="0"/>
                                              <w:divBdr>
                                                <w:top w:val="none" w:sz="0" w:space="0" w:color="auto"/>
                                                <w:left w:val="none" w:sz="0" w:space="0" w:color="auto"/>
                                                <w:bottom w:val="none" w:sz="0" w:space="0" w:color="auto"/>
                                                <w:right w:val="none" w:sz="0" w:space="0" w:color="auto"/>
                                              </w:divBdr>
                                              <w:divsChild>
                                                <w:div w:id="535510316">
                                                  <w:marLeft w:val="0"/>
                                                  <w:marRight w:val="0"/>
                                                  <w:marTop w:val="0"/>
                                                  <w:marBottom w:val="0"/>
                                                  <w:divBdr>
                                                    <w:top w:val="none" w:sz="0" w:space="0" w:color="auto"/>
                                                    <w:left w:val="none" w:sz="0" w:space="0" w:color="auto"/>
                                                    <w:bottom w:val="none" w:sz="0" w:space="0" w:color="auto"/>
                                                    <w:right w:val="none" w:sz="0" w:space="0" w:color="auto"/>
                                                  </w:divBdr>
                                                  <w:divsChild>
                                                    <w:div w:id="46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11">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342586943">
                                              <w:marLeft w:val="0"/>
                                              <w:marRight w:val="0"/>
                                              <w:marTop w:val="0"/>
                                              <w:marBottom w:val="0"/>
                                              <w:divBdr>
                                                <w:top w:val="none" w:sz="0" w:space="0" w:color="auto"/>
                                                <w:left w:val="none" w:sz="0" w:space="0" w:color="auto"/>
                                                <w:bottom w:val="none" w:sz="0" w:space="0" w:color="auto"/>
                                                <w:right w:val="none" w:sz="0" w:space="0" w:color="auto"/>
                                              </w:divBdr>
                                              <w:divsChild>
                                                <w:div w:id="917324450">
                                                  <w:marLeft w:val="0"/>
                                                  <w:marRight w:val="0"/>
                                                  <w:marTop w:val="0"/>
                                                  <w:marBottom w:val="0"/>
                                                  <w:divBdr>
                                                    <w:top w:val="none" w:sz="0" w:space="0" w:color="auto"/>
                                                    <w:left w:val="none" w:sz="0" w:space="0" w:color="auto"/>
                                                    <w:bottom w:val="none" w:sz="0" w:space="0" w:color="auto"/>
                                                    <w:right w:val="none" w:sz="0" w:space="0" w:color="auto"/>
                                                  </w:divBdr>
                                                  <w:divsChild>
                                                    <w:div w:id="133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6932">
                                      <w:marLeft w:val="0"/>
                                      <w:marRight w:val="0"/>
                                      <w:marTop w:val="0"/>
                                      <w:marBottom w:val="0"/>
                                      <w:divBdr>
                                        <w:top w:val="none" w:sz="0" w:space="0" w:color="auto"/>
                                        <w:left w:val="none" w:sz="0" w:space="0" w:color="auto"/>
                                        <w:bottom w:val="none" w:sz="0" w:space="0" w:color="auto"/>
                                        <w:right w:val="none" w:sz="0" w:space="0" w:color="auto"/>
                                      </w:divBdr>
                                      <w:divsChild>
                                        <w:div w:id="1502549807">
                                          <w:marLeft w:val="0"/>
                                          <w:marRight w:val="0"/>
                                          <w:marTop w:val="0"/>
                                          <w:marBottom w:val="0"/>
                                          <w:divBdr>
                                            <w:top w:val="none" w:sz="0" w:space="0" w:color="auto"/>
                                            <w:left w:val="none" w:sz="0" w:space="0" w:color="auto"/>
                                            <w:bottom w:val="none" w:sz="0" w:space="0" w:color="auto"/>
                                            <w:right w:val="none" w:sz="0" w:space="0" w:color="auto"/>
                                          </w:divBdr>
                                          <w:divsChild>
                                            <w:div w:id="50468470">
                                              <w:marLeft w:val="0"/>
                                              <w:marRight w:val="0"/>
                                              <w:marTop w:val="0"/>
                                              <w:marBottom w:val="0"/>
                                              <w:divBdr>
                                                <w:top w:val="none" w:sz="0" w:space="0" w:color="auto"/>
                                                <w:left w:val="none" w:sz="0" w:space="0" w:color="auto"/>
                                                <w:bottom w:val="none" w:sz="0" w:space="0" w:color="auto"/>
                                                <w:right w:val="none" w:sz="0" w:space="0" w:color="auto"/>
                                              </w:divBdr>
                                              <w:divsChild>
                                                <w:div w:id="995180792">
                                                  <w:marLeft w:val="0"/>
                                                  <w:marRight w:val="0"/>
                                                  <w:marTop w:val="0"/>
                                                  <w:marBottom w:val="0"/>
                                                  <w:divBdr>
                                                    <w:top w:val="none" w:sz="0" w:space="0" w:color="auto"/>
                                                    <w:left w:val="none" w:sz="0" w:space="0" w:color="auto"/>
                                                    <w:bottom w:val="none" w:sz="0" w:space="0" w:color="auto"/>
                                                    <w:right w:val="none" w:sz="0" w:space="0" w:color="auto"/>
                                                  </w:divBdr>
                                                  <w:divsChild>
                                                    <w:div w:id="1553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416">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0"/>
                                                  <w:divBdr>
                                                    <w:top w:val="none" w:sz="0" w:space="0" w:color="auto"/>
                                                    <w:left w:val="none" w:sz="0" w:space="0" w:color="auto"/>
                                                    <w:bottom w:val="none" w:sz="0" w:space="0" w:color="auto"/>
                                                    <w:right w:val="none" w:sz="0" w:space="0" w:color="auto"/>
                                                  </w:divBdr>
                                                  <w:divsChild>
                                                    <w:div w:id="831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1021">
                                      <w:marLeft w:val="0"/>
                                      <w:marRight w:val="0"/>
                                      <w:marTop w:val="0"/>
                                      <w:marBottom w:val="0"/>
                                      <w:divBdr>
                                        <w:top w:val="none" w:sz="0" w:space="0" w:color="auto"/>
                                        <w:left w:val="none" w:sz="0" w:space="0" w:color="auto"/>
                                        <w:bottom w:val="none" w:sz="0" w:space="0" w:color="auto"/>
                                        <w:right w:val="none" w:sz="0" w:space="0" w:color="auto"/>
                                      </w:divBdr>
                                      <w:divsChild>
                                        <w:div w:id="368647339">
                                          <w:marLeft w:val="0"/>
                                          <w:marRight w:val="0"/>
                                          <w:marTop w:val="0"/>
                                          <w:marBottom w:val="450"/>
                                          <w:divBdr>
                                            <w:top w:val="none" w:sz="0" w:space="0" w:color="auto"/>
                                            <w:left w:val="none" w:sz="0" w:space="0" w:color="auto"/>
                                            <w:bottom w:val="none" w:sz="0" w:space="0" w:color="auto"/>
                                            <w:right w:val="none" w:sz="0" w:space="0" w:color="auto"/>
                                          </w:divBdr>
                                          <w:divsChild>
                                            <w:div w:id="1468744162">
                                              <w:marLeft w:val="0"/>
                                              <w:marRight w:val="0"/>
                                              <w:marTop w:val="0"/>
                                              <w:marBottom w:val="0"/>
                                              <w:divBdr>
                                                <w:top w:val="none" w:sz="0" w:space="0" w:color="auto"/>
                                                <w:left w:val="none" w:sz="0" w:space="0" w:color="auto"/>
                                                <w:bottom w:val="none" w:sz="0" w:space="0" w:color="auto"/>
                                                <w:right w:val="none" w:sz="0" w:space="0" w:color="auto"/>
                                              </w:divBdr>
                                              <w:divsChild>
                                                <w:div w:id="412163693">
                                                  <w:marLeft w:val="0"/>
                                                  <w:marRight w:val="0"/>
                                                  <w:marTop w:val="0"/>
                                                  <w:marBottom w:val="0"/>
                                                  <w:divBdr>
                                                    <w:top w:val="none" w:sz="0" w:space="0" w:color="auto"/>
                                                    <w:left w:val="none" w:sz="0" w:space="0" w:color="auto"/>
                                                    <w:bottom w:val="none" w:sz="0" w:space="0" w:color="auto"/>
                                                    <w:right w:val="none" w:sz="0" w:space="0" w:color="auto"/>
                                                  </w:divBdr>
                                                  <w:divsChild>
                                                    <w:div w:id="1486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684307">
      <w:bodyDiv w:val="1"/>
      <w:marLeft w:val="0"/>
      <w:marRight w:val="0"/>
      <w:marTop w:val="0"/>
      <w:marBottom w:val="0"/>
      <w:divBdr>
        <w:top w:val="none" w:sz="0" w:space="0" w:color="auto"/>
        <w:left w:val="none" w:sz="0" w:space="0" w:color="auto"/>
        <w:bottom w:val="none" w:sz="0" w:space="0" w:color="auto"/>
        <w:right w:val="none" w:sz="0" w:space="0" w:color="auto"/>
      </w:divBdr>
    </w:div>
    <w:div w:id="406729204">
      <w:bodyDiv w:val="1"/>
      <w:marLeft w:val="0"/>
      <w:marRight w:val="0"/>
      <w:marTop w:val="0"/>
      <w:marBottom w:val="0"/>
      <w:divBdr>
        <w:top w:val="none" w:sz="0" w:space="0" w:color="auto"/>
        <w:left w:val="none" w:sz="0" w:space="0" w:color="auto"/>
        <w:bottom w:val="none" w:sz="0" w:space="0" w:color="auto"/>
        <w:right w:val="none" w:sz="0" w:space="0" w:color="auto"/>
      </w:divBdr>
    </w:div>
    <w:div w:id="408163830">
      <w:bodyDiv w:val="1"/>
      <w:marLeft w:val="0"/>
      <w:marRight w:val="0"/>
      <w:marTop w:val="0"/>
      <w:marBottom w:val="0"/>
      <w:divBdr>
        <w:top w:val="none" w:sz="0" w:space="0" w:color="auto"/>
        <w:left w:val="none" w:sz="0" w:space="0" w:color="auto"/>
        <w:bottom w:val="none" w:sz="0" w:space="0" w:color="auto"/>
        <w:right w:val="none" w:sz="0" w:space="0" w:color="auto"/>
      </w:divBdr>
    </w:div>
    <w:div w:id="420102489">
      <w:bodyDiv w:val="1"/>
      <w:marLeft w:val="0"/>
      <w:marRight w:val="0"/>
      <w:marTop w:val="0"/>
      <w:marBottom w:val="0"/>
      <w:divBdr>
        <w:top w:val="none" w:sz="0" w:space="0" w:color="auto"/>
        <w:left w:val="none" w:sz="0" w:space="0" w:color="auto"/>
        <w:bottom w:val="none" w:sz="0" w:space="0" w:color="auto"/>
        <w:right w:val="none" w:sz="0" w:space="0" w:color="auto"/>
      </w:divBdr>
    </w:div>
    <w:div w:id="424882012">
      <w:bodyDiv w:val="1"/>
      <w:marLeft w:val="0"/>
      <w:marRight w:val="0"/>
      <w:marTop w:val="0"/>
      <w:marBottom w:val="0"/>
      <w:divBdr>
        <w:top w:val="none" w:sz="0" w:space="0" w:color="auto"/>
        <w:left w:val="none" w:sz="0" w:space="0" w:color="auto"/>
        <w:bottom w:val="none" w:sz="0" w:space="0" w:color="auto"/>
        <w:right w:val="none" w:sz="0" w:space="0" w:color="auto"/>
      </w:divBdr>
    </w:div>
    <w:div w:id="426116082">
      <w:bodyDiv w:val="1"/>
      <w:marLeft w:val="0"/>
      <w:marRight w:val="0"/>
      <w:marTop w:val="0"/>
      <w:marBottom w:val="0"/>
      <w:divBdr>
        <w:top w:val="none" w:sz="0" w:space="0" w:color="auto"/>
        <w:left w:val="none" w:sz="0" w:space="0" w:color="auto"/>
        <w:bottom w:val="none" w:sz="0" w:space="0" w:color="auto"/>
        <w:right w:val="none" w:sz="0" w:space="0" w:color="auto"/>
      </w:divBdr>
      <w:divsChild>
        <w:div w:id="87116606">
          <w:marLeft w:val="0"/>
          <w:marRight w:val="0"/>
          <w:marTop w:val="0"/>
          <w:marBottom w:val="0"/>
          <w:divBdr>
            <w:top w:val="none" w:sz="0" w:space="0" w:color="auto"/>
            <w:left w:val="none" w:sz="0" w:space="0" w:color="auto"/>
            <w:bottom w:val="none" w:sz="0" w:space="0" w:color="auto"/>
            <w:right w:val="none" w:sz="0" w:space="0" w:color="auto"/>
          </w:divBdr>
          <w:divsChild>
            <w:div w:id="486944214">
              <w:marLeft w:val="-225"/>
              <w:marRight w:val="-225"/>
              <w:marTop w:val="0"/>
              <w:marBottom w:val="0"/>
              <w:divBdr>
                <w:top w:val="none" w:sz="0" w:space="0" w:color="auto"/>
                <w:left w:val="none" w:sz="0" w:space="0" w:color="auto"/>
                <w:bottom w:val="none" w:sz="0" w:space="0" w:color="auto"/>
                <w:right w:val="none" w:sz="0" w:space="0" w:color="auto"/>
              </w:divBdr>
              <w:divsChild>
                <w:div w:id="220598284">
                  <w:marLeft w:val="0"/>
                  <w:marRight w:val="0"/>
                  <w:marTop w:val="0"/>
                  <w:marBottom w:val="0"/>
                  <w:divBdr>
                    <w:top w:val="none" w:sz="0" w:space="0" w:color="auto"/>
                    <w:left w:val="none" w:sz="0" w:space="0" w:color="auto"/>
                    <w:bottom w:val="none" w:sz="0" w:space="0" w:color="auto"/>
                    <w:right w:val="none" w:sz="0" w:space="0" w:color="auto"/>
                  </w:divBdr>
                  <w:divsChild>
                    <w:div w:id="113328009">
                      <w:marLeft w:val="0"/>
                      <w:marRight w:val="0"/>
                      <w:marTop w:val="0"/>
                      <w:marBottom w:val="0"/>
                      <w:divBdr>
                        <w:top w:val="none" w:sz="0" w:space="0" w:color="auto"/>
                        <w:left w:val="none" w:sz="0" w:space="0" w:color="auto"/>
                        <w:bottom w:val="none" w:sz="0" w:space="0" w:color="auto"/>
                        <w:right w:val="none" w:sz="0" w:space="0" w:color="auto"/>
                      </w:divBdr>
                      <w:divsChild>
                        <w:div w:id="1106190922">
                          <w:marLeft w:val="0"/>
                          <w:marRight w:val="0"/>
                          <w:marTop w:val="0"/>
                          <w:marBottom w:val="0"/>
                          <w:divBdr>
                            <w:top w:val="none" w:sz="0" w:space="0" w:color="auto"/>
                            <w:left w:val="none" w:sz="0" w:space="0" w:color="auto"/>
                            <w:bottom w:val="none" w:sz="0" w:space="0" w:color="auto"/>
                            <w:right w:val="none" w:sz="0" w:space="0" w:color="auto"/>
                          </w:divBdr>
                          <w:divsChild>
                            <w:div w:id="729495067">
                              <w:marLeft w:val="0"/>
                              <w:marRight w:val="0"/>
                              <w:marTop w:val="0"/>
                              <w:marBottom w:val="0"/>
                              <w:divBdr>
                                <w:top w:val="none" w:sz="0" w:space="0" w:color="auto"/>
                                <w:left w:val="none" w:sz="0" w:space="0" w:color="auto"/>
                                <w:bottom w:val="none" w:sz="0" w:space="0" w:color="auto"/>
                                <w:right w:val="none" w:sz="0" w:space="0" w:color="auto"/>
                              </w:divBdr>
                              <w:divsChild>
                                <w:div w:id="204567241">
                                  <w:marLeft w:val="0"/>
                                  <w:marRight w:val="0"/>
                                  <w:marTop w:val="0"/>
                                  <w:marBottom w:val="0"/>
                                  <w:divBdr>
                                    <w:top w:val="none" w:sz="0" w:space="0" w:color="auto"/>
                                    <w:left w:val="none" w:sz="0" w:space="0" w:color="auto"/>
                                    <w:bottom w:val="none" w:sz="0" w:space="0" w:color="auto"/>
                                    <w:right w:val="none" w:sz="0" w:space="0" w:color="auto"/>
                                  </w:divBdr>
                                  <w:divsChild>
                                    <w:div w:id="1737705254">
                                      <w:marLeft w:val="0"/>
                                      <w:marRight w:val="0"/>
                                      <w:marTop w:val="0"/>
                                      <w:marBottom w:val="0"/>
                                      <w:divBdr>
                                        <w:top w:val="none" w:sz="0" w:space="0" w:color="auto"/>
                                        <w:left w:val="none" w:sz="0" w:space="0" w:color="auto"/>
                                        <w:bottom w:val="none" w:sz="0" w:space="0" w:color="auto"/>
                                        <w:right w:val="none" w:sz="0" w:space="0" w:color="auto"/>
                                      </w:divBdr>
                                      <w:divsChild>
                                        <w:div w:id="1613824990">
                                          <w:marLeft w:val="0"/>
                                          <w:marRight w:val="0"/>
                                          <w:marTop w:val="0"/>
                                          <w:marBottom w:val="0"/>
                                          <w:divBdr>
                                            <w:top w:val="none" w:sz="0" w:space="0" w:color="auto"/>
                                            <w:left w:val="none" w:sz="0" w:space="0" w:color="auto"/>
                                            <w:bottom w:val="none" w:sz="0" w:space="0" w:color="auto"/>
                                            <w:right w:val="none" w:sz="0" w:space="0" w:color="auto"/>
                                          </w:divBdr>
                                          <w:divsChild>
                                            <w:div w:id="1209105562">
                                              <w:marLeft w:val="0"/>
                                              <w:marRight w:val="0"/>
                                              <w:marTop w:val="0"/>
                                              <w:marBottom w:val="0"/>
                                              <w:divBdr>
                                                <w:top w:val="none" w:sz="0" w:space="0" w:color="auto"/>
                                                <w:left w:val="none" w:sz="0" w:space="0" w:color="auto"/>
                                                <w:bottom w:val="none" w:sz="0" w:space="0" w:color="auto"/>
                                                <w:right w:val="none" w:sz="0" w:space="0" w:color="auto"/>
                                              </w:divBdr>
                                              <w:divsChild>
                                                <w:div w:id="821432991">
                                                  <w:marLeft w:val="0"/>
                                                  <w:marRight w:val="0"/>
                                                  <w:marTop w:val="0"/>
                                                  <w:marBottom w:val="0"/>
                                                  <w:divBdr>
                                                    <w:top w:val="none" w:sz="0" w:space="0" w:color="auto"/>
                                                    <w:left w:val="none" w:sz="0" w:space="0" w:color="auto"/>
                                                    <w:bottom w:val="none" w:sz="0" w:space="0" w:color="auto"/>
                                                    <w:right w:val="none" w:sz="0" w:space="0" w:color="auto"/>
                                                  </w:divBdr>
                                                  <w:divsChild>
                                                    <w:div w:id="911044163">
                                                      <w:marLeft w:val="0"/>
                                                      <w:marRight w:val="0"/>
                                                      <w:marTop w:val="0"/>
                                                      <w:marBottom w:val="0"/>
                                                      <w:divBdr>
                                                        <w:top w:val="none" w:sz="0" w:space="0" w:color="auto"/>
                                                        <w:left w:val="none" w:sz="0" w:space="0" w:color="auto"/>
                                                        <w:bottom w:val="none" w:sz="0" w:space="0" w:color="auto"/>
                                                        <w:right w:val="none" w:sz="0" w:space="0" w:color="auto"/>
                                                      </w:divBdr>
                                                      <w:divsChild>
                                                        <w:div w:id="1390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277877637">
                                                      <w:marLeft w:val="0"/>
                                                      <w:marRight w:val="0"/>
                                                      <w:marTop w:val="0"/>
                                                      <w:marBottom w:val="0"/>
                                                      <w:divBdr>
                                                        <w:top w:val="none" w:sz="0" w:space="0" w:color="auto"/>
                                                        <w:left w:val="none" w:sz="0" w:space="0" w:color="auto"/>
                                                        <w:bottom w:val="none" w:sz="0" w:space="0" w:color="auto"/>
                                                        <w:right w:val="none" w:sz="0" w:space="0" w:color="auto"/>
                                                      </w:divBdr>
                                                      <w:divsChild>
                                                        <w:div w:id="19518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425687">
      <w:bodyDiv w:val="1"/>
      <w:marLeft w:val="0"/>
      <w:marRight w:val="0"/>
      <w:marTop w:val="0"/>
      <w:marBottom w:val="0"/>
      <w:divBdr>
        <w:top w:val="none" w:sz="0" w:space="0" w:color="auto"/>
        <w:left w:val="none" w:sz="0" w:space="0" w:color="auto"/>
        <w:bottom w:val="none" w:sz="0" w:space="0" w:color="auto"/>
        <w:right w:val="none" w:sz="0" w:space="0" w:color="auto"/>
      </w:divBdr>
      <w:divsChild>
        <w:div w:id="1246036305">
          <w:marLeft w:val="0"/>
          <w:marRight w:val="0"/>
          <w:marTop w:val="0"/>
          <w:marBottom w:val="0"/>
          <w:divBdr>
            <w:top w:val="none" w:sz="0" w:space="0" w:color="auto"/>
            <w:left w:val="none" w:sz="0" w:space="0" w:color="auto"/>
            <w:bottom w:val="none" w:sz="0" w:space="0" w:color="auto"/>
            <w:right w:val="none" w:sz="0" w:space="0" w:color="auto"/>
          </w:divBdr>
          <w:divsChild>
            <w:div w:id="895899019">
              <w:marLeft w:val="0"/>
              <w:marRight w:val="0"/>
              <w:marTop w:val="0"/>
              <w:marBottom w:val="0"/>
              <w:divBdr>
                <w:top w:val="none" w:sz="0" w:space="0" w:color="auto"/>
                <w:left w:val="none" w:sz="0" w:space="0" w:color="auto"/>
                <w:bottom w:val="none" w:sz="0" w:space="0" w:color="auto"/>
                <w:right w:val="none" w:sz="0" w:space="0" w:color="auto"/>
              </w:divBdr>
              <w:divsChild>
                <w:div w:id="1887135399">
                  <w:marLeft w:val="0"/>
                  <w:marRight w:val="0"/>
                  <w:marTop w:val="48"/>
                  <w:marBottom w:val="72"/>
                  <w:divBdr>
                    <w:top w:val="none" w:sz="0" w:space="0" w:color="auto"/>
                    <w:left w:val="none" w:sz="0" w:space="0" w:color="auto"/>
                    <w:bottom w:val="none" w:sz="0" w:space="0" w:color="auto"/>
                    <w:right w:val="none" w:sz="0" w:space="0" w:color="auto"/>
                  </w:divBdr>
                  <w:divsChild>
                    <w:div w:id="1321545214">
                      <w:marLeft w:val="0"/>
                      <w:marRight w:val="0"/>
                      <w:marTop w:val="0"/>
                      <w:marBottom w:val="0"/>
                      <w:divBdr>
                        <w:top w:val="none" w:sz="0" w:space="0" w:color="auto"/>
                        <w:left w:val="none" w:sz="0" w:space="0" w:color="auto"/>
                        <w:bottom w:val="none" w:sz="0" w:space="0" w:color="auto"/>
                        <w:right w:val="none" w:sz="0" w:space="0" w:color="auto"/>
                      </w:divBdr>
                      <w:divsChild>
                        <w:div w:id="275793553">
                          <w:marLeft w:val="0"/>
                          <w:marRight w:val="0"/>
                          <w:marTop w:val="0"/>
                          <w:marBottom w:val="580"/>
                          <w:divBdr>
                            <w:top w:val="none" w:sz="0" w:space="0" w:color="auto"/>
                            <w:left w:val="none" w:sz="0" w:space="0" w:color="auto"/>
                            <w:bottom w:val="none" w:sz="0" w:space="0" w:color="auto"/>
                            <w:right w:val="none" w:sz="0" w:space="0" w:color="auto"/>
                          </w:divBdr>
                          <w:divsChild>
                            <w:div w:id="67653860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236">
      <w:bodyDiv w:val="1"/>
      <w:marLeft w:val="0"/>
      <w:marRight w:val="0"/>
      <w:marTop w:val="0"/>
      <w:marBottom w:val="0"/>
      <w:divBdr>
        <w:top w:val="none" w:sz="0" w:space="0" w:color="auto"/>
        <w:left w:val="none" w:sz="0" w:space="0" w:color="auto"/>
        <w:bottom w:val="none" w:sz="0" w:space="0" w:color="auto"/>
        <w:right w:val="none" w:sz="0" w:space="0" w:color="auto"/>
      </w:divBdr>
    </w:div>
    <w:div w:id="471488364">
      <w:bodyDiv w:val="1"/>
      <w:marLeft w:val="0"/>
      <w:marRight w:val="0"/>
      <w:marTop w:val="0"/>
      <w:marBottom w:val="0"/>
      <w:divBdr>
        <w:top w:val="none" w:sz="0" w:space="0" w:color="auto"/>
        <w:left w:val="none" w:sz="0" w:space="0" w:color="auto"/>
        <w:bottom w:val="none" w:sz="0" w:space="0" w:color="auto"/>
        <w:right w:val="none" w:sz="0" w:space="0" w:color="auto"/>
      </w:divBdr>
      <w:divsChild>
        <w:div w:id="1848907978">
          <w:marLeft w:val="0"/>
          <w:marRight w:val="0"/>
          <w:marTop w:val="0"/>
          <w:marBottom w:val="0"/>
          <w:divBdr>
            <w:top w:val="none" w:sz="0" w:space="0" w:color="auto"/>
            <w:left w:val="none" w:sz="0" w:space="0" w:color="auto"/>
            <w:bottom w:val="none" w:sz="0" w:space="0" w:color="auto"/>
            <w:right w:val="none" w:sz="0" w:space="0" w:color="auto"/>
          </w:divBdr>
          <w:divsChild>
            <w:div w:id="73819479">
              <w:marLeft w:val="0"/>
              <w:marRight w:val="0"/>
              <w:marTop w:val="0"/>
              <w:marBottom w:val="0"/>
              <w:divBdr>
                <w:top w:val="none" w:sz="0" w:space="0" w:color="auto"/>
                <w:left w:val="none" w:sz="0" w:space="0" w:color="auto"/>
                <w:bottom w:val="none" w:sz="0" w:space="0" w:color="auto"/>
                <w:right w:val="none" w:sz="0" w:space="0" w:color="auto"/>
              </w:divBdr>
              <w:divsChild>
                <w:div w:id="692801702">
                  <w:marLeft w:val="0"/>
                  <w:marRight w:val="0"/>
                  <w:marTop w:val="0"/>
                  <w:marBottom w:val="0"/>
                  <w:divBdr>
                    <w:top w:val="none" w:sz="0" w:space="0" w:color="auto"/>
                    <w:left w:val="none" w:sz="0" w:space="0" w:color="auto"/>
                    <w:bottom w:val="none" w:sz="0" w:space="0" w:color="auto"/>
                    <w:right w:val="none" w:sz="0" w:space="0" w:color="auto"/>
                  </w:divBdr>
                  <w:divsChild>
                    <w:div w:id="164786278">
                      <w:marLeft w:val="0"/>
                      <w:marRight w:val="0"/>
                      <w:marTop w:val="0"/>
                      <w:marBottom w:val="0"/>
                      <w:divBdr>
                        <w:top w:val="none" w:sz="0" w:space="0" w:color="auto"/>
                        <w:left w:val="none" w:sz="0" w:space="0" w:color="auto"/>
                        <w:bottom w:val="none" w:sz="0" w:space="0" w:color="auto"/>
                        <w:right w:val="none" w:sz="0" w:space="0" w:color="auto"/>
                      </w:divBdr>
                      <w:divsChild>
                        <w:div w:id="558787345">
                          <w:marLeft w:val="0"/>
                          <w:marRight w:val="0"/>
                          <w:marTop w:val="0"/>
                          <w:marBottom w:val="0"/>
                          <w:divBdr>
                            <w:top w:val="none" w:sz="0" w:space="0" w:color="auto"/>
                            <w:left w:val="none" w:sz="0" w:space="0" w:color="auto"/>
                            <w:bottom w:val="none" w:sz="0" w:space="0" w:color="auto"/>
                            <w:right w:val="none" w:sz="0" w:space="0" w:color="auto"/>
                          </w:divBdr>
                          <w:divsChild>
                            <w:div w:id="826480592">
                              <w:marLeft w:val="0"/>
                              <w:marRight w:val="0"/>
                              <w:marTop w:val="0"/>
                              <w:marBottom w:val="0"/>
                              <w:divBdr>
                                <w:top w:val="none" w:sz="0" w:space="0" w:color="auto"/>
                                <w:left w:val="none" w:sz="0" w:space="0" w:color="auto"/>
                                <w:bottom w:val="none" w:sz="0" w:space="0" w:color="auto"/>
                                <w:right w:val="none" w:sz="0" w:space="0" w:color="auto"/>
                              </w:divBdr>
                              <w:divsChild>
                                <w:div w:id="22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2977">
      <w:bodyDiv w:val="1"/>
      <w:marLeft w:val="0"/>
      <w:marRight w:val="0"/>
      <w:marTop w:val="0"/>
      <w:marBottom w:val="0"/>
      <w:divBdr>
        <w:top w:val="none" w:sz="0" w:space="0" w:color="auto"/>
        <w:left w:val="none" w:sz="0" w:space="0" w:color="auto"/>
        <w:bottom w:val="none" w:sz="0" w:space="0" w:color="auto"/>
        <w:right w:val="none" w:sz="0" w:space="0" w:color="auto"/>
      </w:divBdr>
    </w:div>
    <w:div w:id="481040313">
      <w:bodyDiv w:val="1"/>
      <w:marLeft w:val="0"/>
      <w:marRight w:val="0"/>
      <w:marTop w:val="0"/>
      <w:marBottom w:val="0"/>
      <w:divBdr>
        <w:top w:val="none" w:sz="0" w:space="0" w:color="auto"/>
        <w:left w:val="none" w:sz="0" w:space="0" w:color="auto"/>
        <w:bottom w:val="none" w:sz="0" w:space="0" w:color="auto"/>
        <w:right w:val="none" w:sz="0" w:space="0" w:color="auto"/>
      </w:divBdr>
      <w:divsChild>
        <w:div w:id="1317303602">
          <w:marLeft w:val="0"/>
          <w:marRight w:val="0"/>
          <w:marTop w:val="0"/>
          <w:marBottom w:val="0"/>
          <w:divBdr>
            <w:top w:val="none" w:sz="0" w:space="0" w:color="auto"/>
            <w:left w:val="none" w:sz="0" w:space="0" w:color="auto"/>
            <w:bottom w:val="none" w:sz="0" w:space="0" w:color="auto"/>
            <w:right w:val="none" w:sz="0" w:space="0" w:color="auto"/>
          </w:divBdr>
          <w:divsChild>
            <w:div w:id="485320473">
              <w:marLeft w:val="0"/>
              <w:marRight w:val="0"/>
              <w:marTop w:val="0"/>
              <w:marBottom w:val="0"/>
              <w:divBdr>
                <w:top w:val="none" w:sz="0" w:space="0" w:color="auto"/>
                <w:left w:val="none" w:sz="0" w:space="0" w:color="auto"/>
                <w:bottom w:val="none" w:sz="0" w:space="0" w:color="auto"/>
                <w:right w:val="none" w:sz="0" w:space="0" w:color="auto"/>
              </w:divBdr>
              <w:divsChild>
                <w:div w:id="7204885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0"/>
                      <w:divBdr>
                        <w:top w:val="none" w:sz="0" w:space="0" w:color="auto"/>
                        <w:left w:val="none" w:sz="0" w:space="0" w:color="auto"/>
                        <w:bottom w:val="none" w:sz="0" w:space="0" w:color="auto"/>
                        <w:right w:val="none" w:sz="0" w:space="0" w:color="auto"/>
                      </w:divBdr>
                      <w:divsChild>
                        <w:div w:id="385225068">
                          <w:marLeft w:val="0"/>
                          <w:marRight w:val="0"/>
                          <w:marTop w:val="0"/>
                          <w:marBottom w:val="0"/>
                          <w:divBdr>
                            <w:top w:val="none" w:sz="0" w:space="0" w:color="auto"/>
                            <w:left w:val="none" w:sz="0" w:space="0" w:color="auto"/>
                            <w:bottom w:val="none" w:sz="0" w:space="0" w:color="auto"/>
                            <w:right w:val="none" w:sz="0" w:space="0" w:color="auto"/>
                          </w:divBdr>
                          <w:divsChild>
                            <w:div w:id="48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9962">
      <w:bodyDiv w:val="1"/>
      <w:marLeft w:val="0"/>
      <w:marRight w:val="0"/>
      <w:marTop w:val="0"/>
      <w:marBottom w:val="0"/>
      <w:divBdr>
        <w:top w:val="none" w:sz="0" w:space="0" w:color="auto"/>
        <w:left w:val="none" w:sz="0" w:space="0" w:color="auto"/>
        <w:bottom w:val="none" w:sz="0" w:space="0" w:color="auto"/>
        <w:right w:val="none" w:sz="0" w:space="0" w:color="auto"/>
      </w:divBdr>
      <w:divsChild>
        <w:div w:id="77335505">
          <w:marLeft w:val="1166"/>
          <w:marRight w:val="0"/>
          <w:marTop w:val="115"/>
          <w:marBottom w:val="0"/>
          <w:divBdr>
            <w:top w:val="none" w:sz="0" w:space="0" w:color="auto"/>
            <w:left w:val="none" w:sz="0" w:space="0" w:color="auto"/>
            <w:bottom w:val="none" w:sz="0" w:space="0" w:color="auto"/>
            <w:right w:val="none" w:sz="0" w:space="0" w:color="auto"/>
          </w:divBdr>
        </w:div>
        <w:div w:id="339159662">
          <w:marLeft w:val="475"/>
          <w:marRight w:val="0"/>
          <w:marTop w:val="115"/>
          <w:marBottom w:val="0"/>
          <w:divBdr>
            <w:top w:val="none" w:sz="0" w:space="0" w:color="auto"/>
            <w:left w:val="none" w:sz="0" w:space="0" w:color="auto"/>
            <w:bottom w:val="none" w:sz="0" w:space="0" w:color="auto"/>
            <w:right w:val="none" w:sz="0" w:space="0" w:color="auto"/>
          </w:divBdr>
        </w:div>
        <w:div w:id="1117332264">
          <w:marLeft w:val="1166"/>
          <w:marRight w:val="0"/>
          <w:marTop w:val="115"/>
          <w:marBottom w:val="0"/>
          <w:divBdr>
            <w:top w:val="none" w:sz="0" w:space="0" w:color="auto"/>
            <w:left w:val="none" w:sz="0" w:space="0" w:color="auto"/>
            <w:bottom w:val="none" w:sz="0" w:space="0" w:color="auto"/>
            <w:right w:val="none" w:sz="0" w:space="0" w:color="auto"/>
          </w:divBdr>
        </w:div>
        <w:div w:id="1212618447">
          <w:marLeft w:val="1166"/>
          <w:marRight w:val="0"/>
          <w:marTop w:val="115"/>
          <w:marBottom w:val="0"/>
          <w:divBdr>
            <w:top w:val="none" w:sz="0" w:space="0" w:color="auto"/>
            <w:left w:val="none" w:sz="0" w:space="0" w:color="auto"/>
            <w:bottom w:val="none" w:sz="0" w:space="0" w:color="auto"/>
            <w:right w:val="none" w:sz="0" w:space="0" w:color="auto"/>
          </w:divBdr>
        </w:div>
        <w:div w:id="1573855469">
          <w:marLeft w:val="1166"/>
          <w:marRight w:val="0"/>
          <w:marTop w:val="115"/>
          <w:marBottom w:val="0"/>
          <w:divBdr>
            <w:top w:val="none" w:sz="0" w:space="0" w:color="auto"/>
            <w:left w:val="none" w:sz="0" w:space="0" w:color="auto"/>
            <w:bottom w:val="none" w:sz="0" w:space="0" w:color="auto"/>
            <w:right w:val="none" w:sz="0" w:space="0" w:color="auto"/>
          </w:divBdr>
        </w:div>
      </w:divsChild>
    </w:div>
    <w:div w:id="495344287">
      <w:bodyDiv w:val="1"/>
      <w:marLeft w:val="0"/>
      <w:marRight w:val="0"/>
      <w:marTop w:val="0"/>
      <w:marBottom w:val="0"/>
      <w:divBdr>
        <w:top w:val="none" w:sz="0" w:space="0" w:color="auto"/>
        <w:left w:val="none" w:sz="0" w:space="0" w:color="auto"/>
        <w:bottom w:val="none" w:sz="0" w:space="0" w:color="auto"/>
        <w:right w:val="none" w:sz="0" w:space="0" w:color="auto"/>
      </w:divBdr>
    </w:div>
    <w:div w:id="495727216">
      <w:bodyDiv w:val="1"/>
      <w:marLeft w:val="0"/>
      <w:marRight w:val="0"/>
      <w:marTop w:val="0"/>
      <w:marBottom w:val="0"/>
      <w:divBdr>
        <w:top w:val="none" w:sz="0" w:space="0" w:color="auto"/>
        <w:left w:val="none" w:sz="0" w:space="0" w:color="auto"/>
        <w:bottom w:val="none" w:sz="0" w:space="0" w:color="auto"/>
        <w:right w:val="none" w:sz="0" w:space="0" w:color="auto"/>
      </w:divBdr>
      <w:divsChild>
        <w:div w:id="629558796">
          <w:marLeft w:val="446"/>
          <w:marRight w:val="0"/>
          <w:marTop w:val="0"/>
          <w:marBottom w:val="0"/>
          <w:divBdr>
            <w:top w:val="none" w:sz="0" w:space="0" w:color="auto"/>
            <w:left w:val="none" w:sz="0" w:space="0" w:color="auto"/>
            <w:bottom w:val="none" w:sz="0" w:space="0" w:color="auto"/>
            <w:right w:val="none" w:sz="0" w:space="0" w:color="auto"/>
          </w:divBdr>
        </w:div>
        <w:div w:id="1912766200">
          <w:marLeft w:val="446"/>
          <w:marRight w:val="0"/>
          <w:marTop w:val="0"/>
          <w:marBottom w:val="0"/>
          <w:divBdr>
            <w:top w:val="none" w:sz="0" w:space="0" w:color="auto"/>
            <w:left w:val="none" w:sz="0" w:space="0" w:color="auto"/>
            <w:bottom w:val="none" w:sz="0" w:space="0" w:color="auto"/>
            <w:right w:val="none" w:sz="0" w:space="0" w:color="auto"/>
          </w:divBdr>
        </w:div>
        <w:div w:id="477844067">
          <w:marLeft w:val="446"/>
          <w:marRight w:val="0"/>
          <w:marTop w:val="0"/>
          <w:marBottom w:val="0"/>
          <w:divBdr>
            <w:top w:val="none" w:sz="0" w:space="0" w:color="auto"/>
            <w:left w:val="none" w:sz="0" w:space="0" w:color="auto"/>
            <w:bottom w:val="none" w:sz="0" w:space="0" w:color="auto"/>
            <w:right w:val="none" w:sz="0" w:space="0" w:color="auto"/>
          </w:divBdr>
        </w:div>
        <w:div w:id="301545366">
          <w:marLeft w:val="446"/>
          <w:marRight w:val="0"/>
          <w:marTop w:val="0"/>
          <w:marBottom w:val="0"/>
          <w:divBdr>
            <w:top w:val="none" w:sz="0" w:space="0" w:color="auto"/>
            <w:left w:val="none" w:sz="0" w:space="0" w:color="auto"/>
            <w:bottom w:val="none" w:sz="0" w:space="0" w:color="auto"/>
            <w:right w:val="none" w:sz="0" w:space="0" w:color="auto"/>
          </w:divBdr>
        </w:div>
      </w:divsChild>
    </w:div>
    <w:div w:id="517038707">
      <w:bodyDiv w:val="1"/>
      <w:marLeft w:val="0"/>
      <w:marRight w:val="0"/>
      <w:marTop w:val="0"/>
      <w:marBottom w:val="0"/>
      <w:divBdr>
        <w:top w:val="none" w:sz="0" w:space="0" w:color="auto"/>
        <w:left w:val="none" w:sz="0" w:space="0" w:color="auto"/>
        <w:bottom w:val="none" w:sz="0" w:space="0" w:color="auto"/>
        <w:right w:val="none" w:sz="0" w:space="0" w:color="auto"/>
      </w:divBdr>
    </w:div>
    <w:div w:id="519902455">
      <w:bodyDiv w:val="1"/>
      <w:marLeft w:val="0"/>
      <w:marRight w:val="0"/>
      <w:marTop w:val="0"/>
      <w:marBottom w:val="0"/>
      <w:divBdr>
        <w:top w:val="none" w:sz="0" w:space="0" w:color="auto"/>
        <w:left w:val="none" w:sz="0" w:space="0" w:color="auto"/>
        <w:bottom w:val="none" w:sz="0" w:space="0" w:color="auto"/>
        <w:right w:val="none" w:sz="0" w:space="0" w:color="auto"/>
      </w:divBdr>
    </w:div>
    <w:div w:id="532159647">
      <w:bodyDiv w:val="1"/>
      <w:marLeft w:val="0"/>
      <w:marRight w:val="0"/>
      <w:marTop w:val="0"/>
      <w:marBottom w:val="0"/>
      <w:divBdr>
        <w:top w:val="none" w:sz="0" w:space="0" w:color="auto"/>
        <w:left w:val="none" w:sz="0" w:space="0" w:color="auto"/>
        <w:bottom w:val="none" w:sz="0" w:space="0" w:color="auto"/>
        <w:right w:val="none" w:sz="0" w:space="0" w:color="auto"/>
      </w:divBdr>
    </w:div>
    <w:div w:id="568660912">
      <w:bodyDiv w:val="1"/>
      <w:marLeft w:val="0"/>
      <w:marRight w:val="0"/>
      <w:marTop w:val="0"/>
      <w:marBottom w:val="0"/>
      <w:divBdr>
        <w:top w:val="none" w:sz="0" w:space="0" w:color="auto"/>
        <w:left w:val="none" w:sz="0" w:space="0" w:color="auto"/>
        <w:bottom w:val="none" w:sz="0" w:space="0" w:color="auto"/>
        <w:right w:val="none" w:sz="0" w:space="0" w:color="auto"/>
      </w:divBdr>
    </w:div>
    <w:div w:id="599602949">
      <w:bodyDiv w:val="1"/>
      <w:marLeft w:val="0"/>
      <w:marRight w:val="0"/>
      <w:marTop w:val="0"/>
      <w:marBottom w:val="0"/>
      <w:divBdr>
        <w:top w:val="none" w:sz="0" w:space="0" w:color="auto"/>
        <w:left w:val="none" w:sz="0" w:space="0" w:color="auto"/>
        <w:bottom w:val="none" w:sz="0" w:space="0" w:color="auto"/>
        <w:right w:val="none" w:sz="0" w:space="0" w:color="auto"/>
      </w:divBdr>
    </w:div>
    <w:div w:id="613099231">
      <w:bodyDiv w:val="1"/>
      <w:marLeft w:val="0"/>
      <w:marRight w:val="0"/>
      <w:marTop w:val="0"/>
      <w:marBottom w:val="0"/>
      <w:divBdr>
        <w:top w:val="none" w:sz="0" w:space="0" w:color="auto"/>
        <w:left w:val="none" w:sz="0" w:space="0" w:color="auto"/>
        <w:bottom w:val="none" w:sz="0" w:space="0" w:color="auto"/>
        <w:right w:val="none" w:sz="0" w:space="0" w:color="auto"/>
      </w:divBdr>
    </w:div>
    <w:div w:id="633411215">
      <w:bodyDiv w:val="1"/>
      <w:marLeft w:val="0"/>
      <w:marRight w:val="0"/>
      <w:marTop w:val="0"/>
      <w:marBottom w:val="0"/>
      <w:divBdr>
        <w:top w:val="none" w:sz="0" w:space="0" w:color="auto"/>
        <w:left w:val="none" w:sz="0" w:space="0" w:color="auto"/>
        <w:bottom w:val="none" w:sz="0" w:space="0" w:color="auto"/>
        <w:right w:val="none" w:sz="0" w:space="0" w:color="auto"/>
      </w:divBdr>
    </w:div>
    <w:div w:id="639310948">
      <w:bodyDiv w:val="1"/>
      <w:marLeft w:val="0"/>
      <w:marRight w:val="0"/>
      <w:marTop w:val="0"/>
      <w:marBottom w:val="0"/>
      <w:divBdr>
        <w:top w:val="none" w:sz="0" w:space="0" w:color="auto"/>
        <w:left w:val="none" w:sz="0" w:space="0" w:color="auto"/>
        <w:bottom w:val="none" w:sz="0" w:space="0" w:color="auto"/>
        <w:right w:val="none" w:sz="0" w:space="0" w:color="auto"/>
      </w:divBdr>
    </w:div>
    <w:div w:id="639766834">
      <w:bodyDiv w:val="1"/>
      <w:marLeft w:val="0"/>
      <w:marRight w:val="0"/>
      <w:marTop w:val="0"/>
      <w:marBottom w:val="0"/>
      <w:divBdr>
        <w:top w:val="none" w:sz="0" w:space="0" w:color="auto"/>
        <w:left w:val="none" w:sz="0" w:space="0" w:color="auto"/>
        <w:bottom w:val="none" w:sz="0" w:space="0" w:color="auto"/>
        <w:right w:val="none" w:sz="0" w:space="0" w:color="auto"/>
      </w:divBdr>
    </w:div>
    <w:div w:id="659895504">
      <w:bodyDiv w:val="1"/>
      <w:marLeft w:val="0"/>
      <w:marRight w:val="0"/>
      <w:marTop w:val="0"/>
      <w:marBottom w:val="0"/>
      <w:divBdr>
        <w:top w:val="none" w:sz="0" w:space="0" w:color="auto"/>
        <w:left w:val="none" w:sz="0" w:space="0" w:color="auto"/>
        <w:bottom w:val="none" w:sz="0" w:space="0" w:color="auto"/>
        <w:right w:val="none" w:sz="0" w:space="0" w:color="auto"/>
      </w:divBdr>
    </w:div>
    <w:div w:id="670377954">
      <w:bodyDiv w:val="1"/>
      <w:marLeft w:val="0"/>
      <w:marRight w:val="0"/>
      <w:marTop w:val="0"/>
      <w:marBottom w:val="0"/>
      <w:divBdr>
        <w:top w:val="none" w:sz="0" w:space="0" w:color="auto"/>
        <w:left w:val="none" w:sz="0" w:space="0" w:color="auto"/>
        <w:bottom w:val="none" w:sz="0" w:space="0" w:color="auto"/>
        <w:right w:val="none" w:sz="0" w:space="0" w:color="auto"/>
      </w:divBdr>
    </w:div>
    <w:div w:id="682172651">
      <w:bodyDiv w:val="1"/>
      <w:marLeft w:val="0"/>
      <w:marRight w:val="0"/>
      <w:marTop w:val="0"/>
      <w:marBottom w:val="0"/>
      <w:divBdr>
        <w:top w:val="none" w:sz="0" w:space="0" w:color="auto"/>
        <w:left w:val="none" w:sz="0" w:space="0" w:color="auto"/>
        <w:bottom w:val="none" w:sz="0" w:space="0" w:color="auto"/>
        <w:right w:val="none" w:sz="0" w:space="0" w:color="auto"/>
      </w:divBdr>
    </w:div>
    <w:div w:id="682898823">
      <w:bodyDiv w:val="1"/>
      <w:marLeft w:val="0"/>
      <w:marRight w:val="0"/>
      <w:marTop w:val="0"/>
      <w:marBottom w:val="0"/>
      <w:divBdr>
        <w:top w:val="none" w:sz="0" w:space="0" w:color="auto"/>
        <w:left w:val="none" w:sz="0" w:space="0" w:color="auto"/>
        <w:bottom w:val="none" w:sz="0" w:space="0" w:color="auto"/>
        <w:right w:val="none" w:sz="0" w:space="0" w:color="auto"/>
      </w:divBdr>
    </w:div>
    <w:div w:id="700252373">
      <w:bodyDiv w:val="1"/>
      <w:marLeft w:val="0"/>
      <w:marRight w:val="0"/>
      <w:marTop w:val="0"/>
      <w:marBottom w:val="0"/>
      <w:divBdr>
        <w:top w:val="none" w:sz="0" w:space="0" w:color="auto"/>
        <w:left w:val="none" w:sz="0" w:space="0" w:color="auto"/>
        <w:bottom w:val="none" w:sz="0" w:space="0" w:color="auto"/>
        <w:right w:val="none" w:sz="0" w:space="0" w:color="auto"/>
      </w:divBdr>
    </w:div>
    <w:div w:id="714816741">
      <w:bodyDiv w:val="1"/>
      <w:marLeft w:val="0"/>
      <w:marRight w:val="0"/>
      <w:marTop w:val="0"/>
      <w:marBottom w:val="0"/>
      <w:divBdr>
        <w:top w:val="none" w:sz="0" w:space="0" w:color="auto"/>
        <w:left w:val="none" w:sz="0" w:space="0" w:color="auto"/>
        <w:bottom w:val="none" w:sz="0" w:space="0" w:color="auto"/>
        <w:right w:val="none" w:sz="0" w:space="0" w:color="auto"/>
      </w:divBdr>
      <w:divsChild>
        <w:div w:id="2008092817">
          <w:marLeft w:val="0"/>
          <w:marRight w:val="0"/>
          <w:marTop w:val="0"/>
          <w:marBottom w:val="0"/>
          <w:divBdr>
            <w:top w:val="none" w:sz="0" w:space="0" w:color="auto"/>
            <w:left w:val="none" w:sz="0" w:space="0" w:color="auto"/>
            <w:bottom w:val="none" w:sz="0" w:space="0" w:color="auto"/>
            <w:right w:val="none" w:sz="0" w:space="0" w:color="auto"/>
          </w:divBdr>
          <w:divsChild>
            <w:div w:id="1003356917">
              <w:marLeft w:val="-225"/>
              <w:marRight w:val="-225"/>
              <w:marTop w:val="0"/>
              <w:marBottom w:val="0"/>
              <w:divBdr>
                <w:top w:val="none" w:sz="0" w:space="0" w:color="auto"/>
                <w:left w:val="none" w:sz="0" w:space="0" w:color="auto"/>
                <w:bottom w:val="none" w:sz="0" w:space="0" w:color="auto"/>
                <w:right w:val="none" w:sz="0" w:space="0" w:color="auto"/>
              </w:divBdr>
              <w:divsChild>
                <w:div w:id="1869024035">
                  <w:marLeft w:val="0"/>
                  <w:marRight w:val="0"/>
                  <w:marTop w:val="0"/>
                  <w:marBottom w:val="0"/>
                  <w:divBdr>
                    <w:top w:val="none" w:sz="0" w:space="0" w:color="auto"/>
                    <w:left w:val="none" w:sz="0" w:space="0" w:color="auto"/>
                    <w:bottom w:val="none" w:sz="0" w:space="0" w:color="auto"/>
                    <w:right w:val="none" w:sz="0" w:space="0" w:color="auto"/>
                  </w:divBdr>
                  <w:divsChild>
                    <w:div w:id="924068476">
                      <w:marLeft w:val="0"/>
                      <w:marRight w:val="0"/>
                      <w:marTop w:val="0"/>
                      <w:marBottom w:val="0"/>
                      <w:divBdr>
                        <w:top w:val="none" w:sz="0" w:space="0" w:color="auto"/>
                        <w:left w:val="none" w:sz="0" w:space="0" w:color="auto"/>
                        <w:bottom w:val="none" w:sz="0" w:space="0" w:color="auto"/>
                        <w:right w:val="none" w:sz="0" w:space="0" w:color="auto"/>
                      </w:divBdr>
                      <w:divsChild>
                        <w:div w:id="1314144766">
                          <w:marLeft w:val="0"/>
                          <w:marRight w:val="0"/>
                          <w:marTop w:val="0"/>
                          <w:marBottom w:val="0"/>
                          <w:divBdr>
                            <w:top w:val="none" w:sz="0" w:space="0" w:color="auto"/>
                            <w:left w:val="none" w:sz="0" w:space="0" w:color="auto"/>
                            <w:bottom w:val="none" w:sz="0" w:space="0" w:color="auto"/>
                            <w:right w:val="none" w:sz="0" w:space="0" w:color="auto"/>
                          </w:divBdr>
                          <w:divsChild>
                            <w:div w:id="112020231">
                              <w:marLeft w:val="-225"/>
                              <w:marRight w:val="0"/>
                              <w:marTop w:val="300"/>
                              <w:marBottom w:val="300"/>
                              <w:divBdr>
                                <w:top w:val="none" w:sz="0" w:space="0" w:color="auto"/>
                                <w:left w:val="single" w:sz="36" w:space="8" w:color="E3E3E3"/>
                                <w:bottom w:val="none" w:sz="0" w:space="0" w:color="auto"/>
                                <w:right w:val="none" w:sz="0" w:space="0" w:color="auto"/>
                              </w:divBdr>
                              <w:divsChild>
                                <w:div w:id="1794866141">
                                  <w:marLeft w:val="0"/>
                                  <w:marRight w:val="0"/>
                                  <w:marTop w:val="0"/>
                                  <w:marBottom w:val="0"/>
                                  <w:divBdr>
                                    <w:top w:val="none" w:sz="0" w:space="0" w:color="auto"/>
                                    <w:left w:val="none" w:sz="0" w:space="0" w:color="auto"/>
                                    <w:bottom w:val="none" w:sz="0" w:space="0" w:color="auto"/>
                                    <w:right w:val="none" w:sz="0" w:space="0" w:color="auto"/>
                                  </w:divBdr>
                                  <w:divsChild>
                                    <w:div w:id="727343250">
                                      <w:marLeft w:val="0"/>
                                      <w:marRight w:val="0"/>
                                      <w:marTop w:val="0"/>
                                      <w:marBottom w:val="0"/>
                                      <w:divBdr>
                                        <w:top w:val="none" w:sz="0" w:space="0" w:color="auto"/>
                                        <w:left w:val="none" w:sz="0" w:space="0" w:color="auto"/>
                                        <w:bottom w:val="none" w:sz="0" w:space="0" w:color="auto"/>
                                        <w:right w:val="none" w:sz="0" w:space="0" w:color="auto"/>
                                      </w:divBdr>
                                      <w:divsChild>
                                        <w:div w:id="1404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1348">
                              <w:marLeft w:val="0"/>
                              <w:marRight w:val="0"/>
                              <w:marTop w:val="0"/>
                              <w:marBottom w:val="0"/>
                              <w:divBdr>
                                <w:top w:val="none" w:sz="0" w:space="0" w:color="auto"/>
                                <w:left w:val="none" w:sz="0" w:space="0" w:color="auto"/>
                                <w:bottom w:val="none" w:sz="0" w:space="0" w:color="auto"/>
                                <w:right w:val="none" w:sz="0" w:space="0" w:color="auto"/>
                              </w:divBdr>
                              <w:divsChild>
                                <w:div w:id="2069113300">
                                  <w:marLeft w:val="0"/>
                                  <w:marRight w:val="0"/>
                                  <w:marTop w:val="0"/>
                                  <w:marBottom w:val="0"/>
                                  <w:divBdr>
                                    <w:top w:val="none" w:sz="0" w:space="0" w:color="auto"/>
                                    <w:left w:val="none" w:sz="0" w:space="0" w:color="auto"/>
                                    <w:bottom w:val="none" w:sz="0" w:space="0" w:color="auto"/>
                                    <w:right w:val="none" w:sz="0" w:space="0" w:color="auto"/>
                                  </w:divBdr>
                                  <w:divsChild>
                                    <w:div w:id="2032604672">
                                      <w:marLeft w:val="0"/>
                                      <w:marRight w:val="0"/>
                                      <w:marTop w:val="0"/>
                                      <w:marBottom w:val="0"/>
                                      <w:divBdr>
                                        <w:top w:val="none" w:sz="0" w:space="0" w:color="auto"/>
                                        <w:left w:val="none" w:sz="0" w:space="0" w:color="auto"/>
                                        <w:bottom w:val="none" w:sz="0" w:space="0" w:color="auto"/>
                                        <w:right w:val="none" w:sz="0" w:space="0" w:color="auto"/>
                                      </w:divBdr>
                                      <w:divsChild>
                                        <w:div w:id="1260334837">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661203907">
                                                  <w:marLeft w:val="0"/>
                                                  <w:marRight w:val="0"/>
                                                  <w:marTop w:val="0"/>
                                                  <w:marBottom w:val="0"/>
                                                  <w:divBdr>
                                                    <w:top w:val="none" w:sz="0" w:space="0" w:color="auto"/>
                                                    <w:left w:val="none" w:sz="0" w:space="0" w:color="auto"/>
                                                    <w:bottom w:val="none" w:sz="0" w:space="0" w:color="auto"/>
                                                    <w:right w:val="none" w:sz="0" w:space="0" w:color="auto"/>
                                                  </w:divBdr>
                                                  <w:divsChild>
                                                    <w:div w:id="1731730351">
                                                      <w:marLeft w:val="0"/>
                                                      <w:marRight w:val="0"/>
                                                      <w:marTop w:val="0"/>
                                                      <w:marBottom w:val="0"/>
                                                      <w:divBdr>
                                                        <w:top w:val="none" w:sz="0" w:space="0" w:color="auto"/>
                                                        <w:left w:val="none" w:sz="0" w:space="0" w:color="auto"/>
                                                        <w:bottom w:val="none" w:sz="0" w:space="0" w:color="auto"/>
                                                        <w:right w:val="none" w:sz="0" w:space="0" w:color="auto"/>
                                                      </w:divBdr>
                                                      <w:divsChild>
                                                        <w:div w:id="1790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486240">
      <w:bodyDiv w:val="1"/>
      <w:marLeft w:val="0"/>
      <w:marRight w:val="0"/>
      <w:marTop w:val="0"/>
      <w:marBottom w:val="0"/>
      <w:divBdr>
        <w:top w:val="none" w:sz="0" w:space="0" w:color="auto"/>
        <w:left w:val="none" w:sz="0" w:space="0" w:color="auto"/>
        <w:bottom w:val="none" w:sz="0" w:space="0" w:color="auto"/>
        <w:right w:val="none" w:sz="0" w:space="0" w:color="auto"/>
      </w:divBdr>
    </w:div>
    <w:div w:id="739713421">
      <w:bodyDiv w:val="1"/>
      <w:marLeft w:val="0"/>
      <w:marRight w:val="0"/>
      <w:marTop w:val="0"/>
      <w:marBottom w:val="0"/>
      <w:divBdr>
        <w:top w:val="none" w:sz="0" w:space="0" w:color="auto"/>
        <w:left w:val="none" w:sz="0" w:space="0" w:color="auto"/>
        <w:bottom w:val="none" w:sz="0" w:space="0" w:color="auto"/>
        <w:right w:val="none" w:sz="0" w:space="0" w:color="auto"/>
      </w:divBdr>
    </w:div>
    <w:div w:id="747506601">
      <w:bodyDiv w:val="1"/>
      <w:marLeft w:val="0"/>
      <w:marRight w:val="0"/>
      <w:marTop w:val="0"/>
      <w:marBottom w:val="0"/>
      <w:divBdr>
        <w:top w:val="none" w:sz="0" w:space="0" w:color="auto"/>
        <w:left w:val="none" w:sz="0" w:space="0" w:color="auto"/>
        <w:bottom w:val="none" w:sz="0" w:space="0" w:color="auto"/>
        <w:right w:val="none" w:sz="0" w:space="0" w:color="auto"/>
      </w:divBdr>
    </w:div>
    <w:div w:id="748388326">
      <w:bodyDiv w:val="1"/>
      <w:marLeft w:val="0"/>
      <w:marRight w:val="0"/>
      <w:marTop w:val="0"/>
      <w:marBottom w:val="0"/>
      <w:divBdr>
        <w:top w:val="none" w:sz="0" w:space="0" w:color="auto"/>
        <w:left w:val="none" w:sz="0" w:space="0" w:color="auto"/>
        <w:bottom w:val="none" w:sz="0" w:space="0" w:color="auto"/>
        <w:right w:val="none" w:sz="0" w:space="0" w:color="auto"/>
      </w:divBdr>
    </w:div>
    <w:div w:id="759134510">
      <w:bodyDiv w:val="1"/>
      <w:marLeft w:val="0"/>
      <w:marRight w:val="0"/>
      <w:marTop w:val="0"/>
      <w:marBottom w:val="0"/>
      <w:divBdr>
        <w:top w:val="none" w:sz="0" w:space="0" w:color="auto"/>
        <w:left w:val="none" w:sz="0" w:space="0" w:color="auto"/>
        <w:bottom w:val="none" w:sz="0" w:space="0" w:color="auto"/>
        <w:right w:val="none" w:sz="0" w:space="0" w:color="auto"/>
      </w:divBdr>
      <w:divsChild>
        <w:div w:id="215512294">
          <w:marLeft w:val="475"/>
          <w:marRight w:val="0"/>
          <w:marTop w:val="115"/>
          <w:marBottom w:val="0"/>
          <w:divBdr>
            <w:top w:val="none" w:sz="0" w:space="0" w:color="auto"/>
            <w:left w:val="none" w:sz="0" w:space="0" w:color="auto"/>
            <w:bottom w:val="none" w:sz="0" w:space="0" w:color="auto"/>
            <w:right w:val="none" w:sz="0" w:space="0" w:color="auto"/>
          </w:divBdr>
        </w:div>
        <w:div w:id="586228779">
          <w:marLeft w:val="475"/>
          <w:marRight w:val="0"/>
          <w:marTop w:val="115"/>
          <w:marBottom w:val="0"/>
          <w:divBdr>
            <w:top w:val="none" w:sz="0" w:space="0" w:color="auto"/>
            <w:left w:val="none" w:sz="0" w:space="0" w:color="auto"/>
            <w:bottom w:val="none" w:sz="0" w:space="0" w:color="auto"/>
            <w:right w:val="none" w:sz="0" w:space="0" w:color="auto"/>
          </w:divBdr>
        </w:div>
        <w:div w:id="1678188883">
          <w:marLeft w:val="475"/>
          <w:marRight w:val="0"/>
          <w:marTop w:val="115"/>
          <w:marBottom w:val="0"/>
          <w:divBdr>
            <w:top w:val="none" w:sz="0" w:space="0" w:color="auto"/>
            <w:left w:val="none" w:sz="0" w:space="0" w:color="auto"/>
            <w:bottom w:val="none" w:sz="0" w:space="0" w:color="auto"/>
            <w:right w:val="none" w:sz="0" w:space="0" w:color="auto"/>
          </w:divBdr>
        </w:div>
        <w:div w:id="1816486456">
          <w:marLeft w:val="1166"/>
          <w:marRight w:val="0"/>
          <w:marTop w:val="115"/>
          <w:marBottom w:val="0"/>
          <w:divBdr>
            <w:top w:val="none" w:sz="0" w:space="0" w:color="auto"/>
            <w:left w:val="none" w:sz="0" w:space="0" w:color="auto"/>
            <w:bottom w:val="none" w:sz="0" w:space="0" w:color="auto"/>
            <w:right w:val="none" w:sz="0" w:space="0" w:color="auto"/>
          </w:divBdr>
        </w:div>
        <w:div w:id="1990133915">
          <w:marLeft w:val="1166"/>
          <w:marRight w:val="0"/>
          <w:marTop w:val="115"/>
          <w:marBottom w:val="0"/>
          <w:divBdr>
            <w:top w:val="none" w:sz="0" w:space="0" w:color="auto"/>
            <w:left w:val="none" w:sz="0" w:space="0" w:color="auto"/>
            <w:bottom w:val="none" w:sz="0" w:space="0" w:color="auto"/>
            <w:right w:val="none" w:sz="0" w:space="0" w:color="auto"/>
          </w:divBdr>
        </w:div>
      </w:divsChild>
    </w:div>
    <w:div w:id="760446254">
      <w:bodyDiv w:val="1"/>
      <w:marLeft w:val="0"/>
      <w:marRight w:val="0"/>
      <w:marTop w:val="0"/>
      <w:marBottom w:val="0"/>
      <w:divBdr>
        <w:top w:val="none" w:sz="0" w:space="0" w:color="auto"/>
        <w:left w:val="none" w:sz="0" w:space="0" w:color="auto"/>
        <w:bottom w:val="none" w:sz="0" w:space="0" w:color="auto"/>
        <w:right w:val="none" w:sz="0" w:space="0" w:color="auto"/>
      </w:divBdr>
    </w:div>
    <w:div w:id="768351647">
      <w:bodyDiv w:val="1"/>
      <w:marLeft w:val="0"/>
      <w:marRight w:val="0"/>
      <w:marTop w:val="0"/>
      <w:marBottom w:val="0"/>
      <w:divBdr>
        <w:top w:val="none" w:sz="0" w:space="0" w:color="auto"/>
        <w:left w:val="none" w:sz="0" w:space="0" w:color="auto"/>
        <w:bottom w:val="none" w:sz="0" w:space="0" w:color="auto"/>
        <w:right w:val="none" w:sz="0" w:space="0" w:color="auto"/>
      </w:divBdr>
    </w:div>
    <w:div w:id="770517167">
      <w:bodyDiv w:val="1"/>
      <w:marLeft w:val="0"/>
      <w:marRight w:val="0"/>
      <w:marTop w:val="0"/>
      <w:marBottom w:val="0"/>
      <w:divBdr>
        <w:top w:val="none" w:sz="0" w:space="0" w:color="auto"/>
        <w:left w:val="none" w:sz="0" w:space="0" w:color="auto"/>
        <w:bottom w:val="none" w:sz="0" w:space="0" w:color="auto"/>
        <w:right w:val="none" w:sz="0" w:space="0" w:color="auto"/>
      </w:divBdr>
    </w:div>
    <w:div w:id="783580314">
      <w:bodyDiv w:val="1"/>
      <w:marLeft w:val="0"/>
      <w:marRight w:val="0"/>
      <w:marTop w:val="0"/>
      <w:marBottom w:val="0"/>
      <w:divBdr>
        <w:top w:val="none" w:sz="0" w:space="0" w:color="auto"/>
        <w:left w:val="none" w:sz="0" w:space="0" w:color="auto"/>
        <w:bottom w:val="none" w:sz="0" w:space="0" w:color="auto"/>
        <w:right w:val="none" w:sz="0" w:space="0" w:color="auto"/>
      </w:divBdr>
    </w:div>
    <w:div w:id="798185780">
      <w:bodyDiv w:val="1"/>
      <w:marLeft w:val="0"/>
      <w:marRight w:val="0"/>
      <w:marTop w:val="0"/>
      <w:marBottom w:val="0"/>
      <w:divBdr>
        <w:top w:val="none" w:sz="0" w:space="0" w:color="auto"/>
        <w:left w:val="none" w:sz="0" w:space="0" w:color="auto"/>
        <w:bottom w:val="none" w:sz="0" w:space="0" w:color="auto"/>
        <w:right w:val="none" w:sz="0" w:space="0" w:color="auto"/>
      </w:divBdr>
      <w:divsChild>
        <w:div w:id="1849321384">
          <w:marLeft w:val="0"/>
          <w:marRight w:val="0"/>
          <w:marTop w:val="600"/>
          <w:marBottom w:val="600"/>
          <w:divBdr>
            <w:top w:val="single" w:sz="6" w:space="8" w:color="EEEEEE"/>
            <w:left w:val="single" w:sz="6" w:space="11" w:color="EEEEEE"/>
            <w:bottom w:val="single" w:sz="6" w:space="8" w:color="EEEEEE"/>
            <w:right w:val="single" w:sz="6" w:space="11" w:color="EEEEEE"/>
          </w:divBdr>
          <w:divsChild>
            <w:div w:id="1702512438">
              <w:marLeft w:val="-225"/>
              <w:marRight w:val="-225"/>
              <w:marTop w:val="0"/>
              <w:marBottom w:val="0"/>
              <w:divBdr>
                <w:top w:val="none" w:sz="0" w:space="0" w:color="auto"/>
                <w:left w:val="none" w:sz="0" w:space="0" w:color="auto"/>
                <w:bottom w:val="none" w:sz="0" w:space="0" w:color="auto"/>
                <w:right w:val="none" w:sz="0" w:space="0" w:color="auto"/>
              </w:divBdr>
              <w:divsChild>
                <w:div w:id="1399093669">
                  <w:marLeft w:val="0"/>
                  <w:marRight w:val="0"/>
                  <w:marTop w:val="0"/>
                  <w:marBottom w:val="0"/>
                  <w:divBdr>
                    <w:top w:val="none" w:sz="0" w:space="0" w:color="auto"/>
                    <w:left w:val="none" w:sz="0" w:space="0" w:color="auto"/>
                    <w:bottom w:val="none" w:sz="0" w:space="0" w:color="auto"/>
                    <w:right w:val="none" w:sz="0" w:space="0" w:color="auto"/>
                  </w:divBdr>
                  <w:divsChild>
                    <w:div w:id="370111401">
                      <w:marLeft w:val="0"/>
                      <w:marRight w:val="0"/>
                      <w:marTop w:val="0"/>
                      <w:marBottom w:val="0"/>
                      <w:divBdr>
                        <w:top w:val="none" w:sz="0" w:space="0" w:color="auto"/>
                        <w:left w:val="none" w:sz="0" w:space="0" w:color="auto"/>
                        <w:bottom w:val="none" w:sz="0" w:space="0" w:color="auto"/>
                        <w:right w:val="none" w:sz="0" w:space="0" w:color="auto"/>
                      </w:divBdr>
                      <w:divsChild>
                        <w:div w:id="1418862795">
                          <w:marLeft w:val="0"/>
                          <w:marRight w:val="0"/>
                          <w:marTop w:val="0"/>
                          <w:marBottom w:val="0"/>
                          <w:divBdr>
                            <w:top w:val="none" w:sz="0" w:space="0" w:color="auto"/>
                            <w:left w:val="none" w:sz="0" w:space="0" w:color="auto"/>
                            <w:bottom w:val="none" w:sz="0" w:space="0" w:color="auto"/>
                            <w:right w:val="none" w:sz="0" w:space="0" w:color="auto"/>
                          </w:divBdr>
                          <w:divsChild>
                            <w:div w:id="1028221431">
                              <w:marLeft w:val="0"/>
                              <w:marRight w:val="0"/>
                              <w:marTop w:val="0"/>
                              <w:marBottom w:val="0"/>
                              <w:divBdr>
                                <w:top w:val="none" w:sz="0" w:space="0" w:color="auto"/>
                                <w:left w:val="none" w:sz="0" w:space="0" w:color="auto"/>
                                <w:bottom w:val="none" w:sz="0" w:space="0" w:color="auto"/>
                                <w:right w:val="none" w:sz="0" w:space="0" w:color="auto"/>
                              </w:divBdr>
                              <w:divsChild>
                                <w:div w:id="769856989">
                                  <w:marLeft w:val="0"/>
                                  <w:marRight w:val="0"/>
                                  <w:marTop w:val="0"/>
                                  <w:marBottom w:val="0"/>
                                  <w:divBdr>
                                    <w:top w:val="none" w:sz="0" w:space="0" w:color="auto"/>
                                    <w:left w:val="none" w:sz="0" w:space="0" w:color="auto"/>
                                    <w:bottom w:val="none" w:sz="0" w:space="0" w:color="auto"/>
                                    <w:right w:val="none" w:sz="0" w:space="0" w:color="auto"/>
                                  </w:divBdr>
                                  <w:divsChild>
                                    <w:div w:id="1643653164">
                                      <w:marLeft w:val="0"/>
                                      <w:marRight w:val="0"/>
                                      <w:marTop w:val="0"/>
                                      <w:marBottom w:val="0"/>
                                      <w:divBdr>
                                        <w:top w:val="none" w:sz="0" w:space="0" w:color="auto"/>
                                        <w:left w:val="none" w:sz="0" w:space="0" w:color="auto"/>
                                        <w:bottom w:val="none" w:sz="0" w:space="0" w:color="auto"/>
                                        <w:right w:val="none" w:sz="0" w:space="0" w:color="auto"/>
                                      </w:divBdr>
                                      <w:divsChild>
                                        <w:div w:id="20937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1140">
      <w:bodyDiv w:val="1"/>
      <w:marLeft w:val="0"/>
      <w:marRight w:val="0"/>
      <w:marTop w:val="0"/>
      <w:marBottom w:val="0"/>
      <w:divBdr>
        <w:top w:val="none" w:sz="0" w:space="0" w:color="auto"/>
        <w:left w:val="none" w:sz="0" w:space="0" w:color="auto"/>
        <w:bottom w:val="none" w:sz="0" w:space="0" w:color="auto"/>
        <w:right w:val="none" w:sz="0" w:space="0" w:color="auto"/>
      </w:divBdr>
    </w:div>
    <w:div w:id="814950316">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849180952">
      <w:bodyDiv w:val="1"/>
      <w:marLeft w:val="0"/>
      <w:marRight w:val="0"/>
      <w:marTop w:val="0"/>
      <w:marBottom w:val="0"/>
      <w:divBdr>
        <w:top w:val="none" w:sz="0" w:space="0" w:color="auto"/>
        <w:left w:val="none" w:sz="0" w:space="0" w:color="auto"/>
        <w:bottom w:val="none" w:sz="0" w:space="0" w:color="auto"/>
        <w:right w:val="none" w:sz="0" w:space="0" w:color="auto"/>
      </w:divBdr>
    </w:div>
    <w:div w:id="85441984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1465000293">
              <w:marLeft w:val="0"/>
              <w:marRight w:val="0"/>
              <w:marTop w:val="0"/>
              <w:marBottom w:val="0"/>
              <w:divBdr>
                <w:top w:val="none" w:sz="0" w:space="0" w:color="auto"/>
                <w:left w:val="none" w:sz="0" w:space="0" w:color="auto"/>
                <w:bottom w:val="none" w:sz="0" w:space="0" w:color="auto"/>
                <w:right w:val="none" w:sz="0" w:space="0" w:color="auto"/>
              </w:divBdr>
              <w:divsChild>
                <w:div w:id="2034377296">
                  <w:marLeft w:val="0"/>
                  <w:marRight w:val="0"/>
                  <w:marTop w:val="0"/>
                  <w:marBottom w:val="0"/>
                  <w:divBdr>
                    <w:top w:val="none" w:sz="0" w:space="0" w:color="auto"/>
                    <w:left w:val="none" w:sz="0" w:space="0" w:color="auto"/>
                    <w:bottom w:val="none" w:sz="0" w:space="0" w:color="auto"/>
                    <w:right w:val="none" w:sz="0" w:space="0" w:color="auto"/>
                  </w:divBdr>
                  <w:divsChild>
                    <w:div w:id="1885409357">
                      <w:marLeft w:val="0"/>
                      <w:marRight w:val="0"/>
                      <w:marTop w:val="0"/>
                      <w:marBottom w:val="600"/>
                      <w:divBdr>
                        <w:top w:val="none" w:sz="0" w:space="0" w:color="auto"/>
                        <w:left w:val="none" w:sz="0" w:space="0" w:color="auto"/>
                        <w:bottom w:val="none" w:sz="0" w:space="0" w:color="auto"/>
                        <w:right w:val="none" w:sz="0" w:space="0" w:color="auto"/>
                      </w:divBdr>
                      <w:divsChild>
                        <w:div w:id="582227729">
                          <w:marLeft w:val="0"/>
                          <w:marRight w:val="0"/>
                          <w:marTop w:val="0"/>
                          <w:marBottom w:val="0"/>
                          <w:divBdr>
                            <w:top w:val="none" w:sz="0" w:space="0" w:color="auto"/>
                            <w:left w:val="none" w:sz="0" w:space="0" w:color="auto"/>
                            <w:bottom w:val="none" w:sz="0" w:space="0" w:color="auto"/>
                            <w:right w:val="none" w:sz="0" w:space="0" w:color="auto"/>
                          </w:divBdr>
                          <w:divsChild>
                            <w:div w:id="2064939591">
                              <w:marLeft w:val="0"/>
                              <w:marRight w:val="0"/>
                              <w:marTop w:val="0"/>
                              <w:marBottom w:val="0"/>
                              <w:divBdr>
                                <w:top w:val="none" w:sz="0" w:space="0" w:color="auto"/>
                                <w:left w:val="none" w:sz="0" w:space="0" w:color="auto"/>
                                <w:bottom w:val="none" w:sz="0" w:space="0" w:color="auto"/>
                                <w:right w:val="none" w:sz="0" w:space="0" w:color="auto"/>
                              </w:divBdr>
                              <w:divsChild>
                                <w:div w:id="1467890922">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857428621">
      <w:marLeft w:val="0"/>
      <w:marRight w:val="0"/>
      <w:marTop w:val="0"/>
      <w:marBottom w:val="0"/>
      <w:divBdr>
        <w:top w:val="none" w:sz="0" w:space="0" w:color="auto"/>
        <w:left w:val="none" w:sz="0" w:space="0" w:color="auto"/>
        <w:bottom w:val="none" w:sz="0" w:space="0" w:color="auto"/>
        <w:right w:val="none" w:sz="0" w:space="0" w:color="auto"/>
      </w:divBdr>
      <w:divsChild>
        <w:div w:id="1839492815">
          <w:marLeft w:val="-225"/>
          <w:marRight w:val="-225"/>
          <w:marTop w:val="0"/>
          <w:marBottom w:val="0"/>
          <w:divBdr>
            <w:top w:val="none" w:sz="0" w:space="0" w:color="auto"/>
            <w:left w:val="none" w:sz="0" w:space="0" w:color="auto"/>
            <w:bottom w:val="none" w:sz="0" w:space="0" w:color="auto"/>
            <w:right w:val="none" w:sz="0" w:space="0" w:color="auto"/>
          </w:divBdr>
          <w:divsChild>
            <w:div w:id="836725801">
              <w:marLeft w:val="0"/>
              <w:marRight w:val="0"/>
              <w:marTop w:val="0"/>
              <w:marBottom w:val="0"/>
              <w:divBdr>
                <w:top w:val="none" w:sz="0" w:space="0" w:color="auto"/>
                <w:left w:val="none" w:sz="0" w:space="0" w:color="auto"/>
                <w:bottom w:val="none" w:sz="0" w:space="0" w:color="auto"/>
                <w:right w:val="none" w:sz="0" w:space="0" w:color="auto"/>
              </w:divBdr>
            </w:div>
            <w:div w:id="1545756118">
              <w:marLeft w:val="0"/>
              <w:marRight w:val="0"/>
              <w:marTop w:val="0"/>
              <w:marBottom w:val="0"/>
              <w:divBdr>
                <w:top w:val="none" w:sz="0" w:space="0" w:color="auto"/>
                <w:left w:val="none" w:sz="0" w:space="0" w:color="auto"/>
                <w:bottom w:val="none" w:sz="0" w:space="0" w:color="auto"/>
                <w:right w:val="none" w:sz="0" w:space="0" w:color="auto"/>
              </w:divBdr>
              <w:divsChild>
                <w:div w:id="329528156">
                  <w:marLeft w:val="0"/>
                  <w:marRight w:val="0"/>
                  <w:marTop w:val="0"/>
                  <w:marBottom w:val="300"/>
                  <w:divBdr>
                    <w:top w:val="none" w:sz="0" w:space="0" w:color="auto"/>
                    <w:left w:val="none" w:sz="0" w:space="0" w:color="auto"/>
                    <w:bottom w:val="none" w:sz="0" w:space="0" w:color="auto"/>
                    <w:right w:val="none" w:sz="0" w:space="0" w:color="auto"/>
                  </w:divBdr>
                </w:div>
              </w:divsChild>
            </w:div>
            <w:div w:id="1989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99">
      <w:bodyDiv w:val="1"/>
      <w:marLeft w:val="0"/>
      <w:marRight w:val="0"/>
      <w:marTop w:val="0"/>
      <w:marBottom w:val="0"/>
      <w:divBdr>
        <w:top w:val="none" w:sz="0" w:space="0" w:color="auto"/>
        <w:left w:val="none" w:sz="0" w:space="0" w:color="auto"/>
        <w:bottom w:val="none" w:sz="0" w:space="0" w:color="auto"/>
        <w:right w:val="none" w:sz="0" w:space="0" w:color="auto"/>
      </w:divBdr>
      <w:divsChild>
        <w:div w:id="52822295">
          <w:marLeft w:val="274"/>
          <w:marRight w:val="0"/>
          <w:marTop w:val="0"/>
          <w:marBottom w:val="120"/>
          <w:divBdr>
            <w:top w:val="none" w:sz="0" w:space="0" w:color="auto"/>
            <w:left w:val="none" w:sz="0" w:space="0" w:color="auto"/>
            <w:bottom w:val="none" w:sz="0" w:space="0" w:color="auto"/>
            <w:right w:val="none" w:sz="0" w:space="0" w:color="auto"/>
          </w:divBdr>
        </w:div>
        <w:div w:id="75134098">
          <w:marLeft w:val="274"/>
          <w:marRight w:val="0"/>
          <w:marTop w:val="0"/>
          <w:marBottom w:val="120"/>
          <w:divBdr>
            <w:top w:val="none" w:sz="0" w:space="0" w:color="auto"/>
            <w:left w:val="none" w:sz="0" w:space="0" w:color="auto"/>
            <w:bottom w:val="none" w:sz="0" w:space="0" w:color="auto"/>
            <w:right w:val="none" w:sz="0" w:space="0" w:color="auto"/>
          </w:divBdr>
        </w:div>
        <w:div w:id="246614257">
          <w:marLeft w:val="274"/>
          <w:marRight w:val="0"/>
          <w:marTop w:val="0"/>
          <w:marBottom w:val="120"/>
          <w:divBdr>
            <w:top w:val="none" w:sz="0" w:space="0" w:color="auto"/>
            <w:left w:val="none" w:sz="0" w:space="0" w:color="auto"/>
            <w:bottom w:val="none" w:sz="0" w:space="0" w:color="auto"/>
            <w:right w:val="none" w:sz="0" w:space="0" w:color="auto"/>
          </w:divBdr>
        </w:div>
        <w:div w:id="849368162">
          <w:marLeft w:val="274"/>
          <w:marRight w:val="0"/>
          <w:marTop w:val="0"/>
          <w:marBottom w:val="120"/>
          <w:divBdr>
            <w:top w:val="none" w:sz="0" w:space="0" w:color="auto"/>
            <w:left w:val="none" w:sz="0" w:space="0" w:color="auto"/>
            <w:bottom w:val="none" w:sz="0" w:space="0" w:color="auto"/>
            <w:right w:val="none" w:sz="0" w:space="0" w:color="auto"/>
          </w:divBdr>
        </w:div>
        <w:div w:id="941842658">
          <w:marLeft w:val="274"/>
          <w:marRight w:val="0"/>
          <w:marTop w:val="0"/>
          <w:marBottom w:val="120"/>
          <w:divBdr>
            <w:top w:val="none" w:sz="0" w:space="0" w:color="auto"/>
            <w:left w:val="none" w:sz="0" w:space="0" w:color="auto"/>
            <w:bottom w:val="none" w:sz="0" w:space="0" w:color="auto"/>
            <w:right w:val="none" w:sz="0" w:space="0" w:color="auto"/>
          </w:divBdr>
        </w:div>
        <w:div w:id="1010374208">
          <w:marLeft w:val="274"/>
          <w:marRight w:val="0"/>
          <w:marTop w:val="0"/>
          <w:marBottom w:val="120"/>
          <w:divBdr>
            <w:top w:val="none" w:sz="0" w:space="0" w:color="auto"/>
            <w:left w:val="none" w:sz="0" w:space="0" w:color="auto"/>
            <w:bottom w:val="none" w:sz="0" w:space="0" w:color="auto"/>
            <w:right w:val="none" w:sz="0" w:space="0" w:color="auto"/>
          </w:divBdr>
        </w:div>
        <w:div w:id="1471485350">
          <w:marLeft w:val="274"/>
          <w:marRight w:val="0"/>
          <w:marTop w:val="0"/>
          <w:marBottom w:val="120"/>
          <w:divBdr>
            <w:top w:val="none" w:sz="0" w:space="0" w:color="auto"/>
            <w:left w:val="none" w:sz="0" w:space="0" w:color="auto"/>
            <w:bottom w:val="none" w:sz="0" w:space="0" w:color="auto"/>
            <w:right w:val="none" w:sz="0" w:space="0" w:color="auto"/>
          </w:divBdr>
        </w:div>
        <w:div w:id="1491485941">
          <w:marLeft w:val="274"/>
          <w:marRight w:val="0"/>
          <w:marTop w:val="0"/>
          <w:marBottom w:val="120"/>
          <w:divBdr>
            <w:top w:val="none" w:sz="0" w:space="0" w:color="auto"/>
            <w:left w:val="none" w:sz="0" w:space="0" w:color="auto"/>
            <w:bottom w:val="none" w:sz="0" w:space="0" w:color="auto"/>
            <w:right w:val="none" w:sz="0" w:space="0" w:color="auto"/>
          </w:divBdr>
        </w:div>
        <w:div w:id="1644115067">
          <w:marLeft w:val="274"/>
          <w:marRight w:val="0"/>
          <w:marTop w:val="0"/>
          <w:marBottom w:val="120"/>
          <w:divBdr>
            <w:top w:val="none" w:sz="0" w:space="0" w:color="auto"/>
            <w:left w:val="none" w:sz="0" w:space="0" w:color="auto"/>
            <w:bottom w:val="none" w:sz="0" w:space="0" w:color="auto"/>
            <w:right w:val="none" w:sz="0" w:space="0" w:color="auto"/>
          </w:divBdr>
        </w:div>
        <w:div w:id="2107530740">
          <w:marLeft w:val="274"/>
          <w:marRight w:val="0"/>
          <w:marTop w:val="0"/>
          <w:marBottom w:val="120"/>
          <w:divBdr>
            <w:top w:val="none" w:sz="0" w:space="0" w:color="auto"/>
            <w:left w:val="none" w:sz="0" w:space="0" w:color="auto"/>
            <w:bottom w:val="none" w:sz="0" w:space="0" w:color="auto"/>
            <w:right w:val="none" w:sz="0" w:space="0" w:color="auto"/>
          </w:divBdr>
        </w:div>
        <w:div w:id="2128306200">
          <w:marLeft w:val="274"/>
          <w:marRight w:val="0"/>
          <w:marTop w:val="0"/>
          <w:marBottom w:val="120"/>
          <w:divBdr>
            <w:top w:val="none" w:sz="0" w:space="0" w:color="auto"/>
            <w:left w:val="none" w:sz="0" w:space="0" w:color="auto"/>
            <w:bottom w:val="none" w:sz="0" w:space="0" w:color="auto"/>
            <w:right w:val="none" w:sz="0" w:space="0" w:color="auto"/>
          </w:divBdr>
        </w:div>
      </w:divsChild>
    </w:div>
    <w:div w:id="882908045">
      <w:bodyDiv w:val="1"/>
      <w:marLeft w:val="0"/>
      <w:marRight w:val="0"/>
      <w:marTop w:val="0"/>
      <w:marBottom w:val="0"/>
      <w:divBdr>
        <w:top w:val="none" w:sz="0" w:space="0" w:color="auto"/>
        <w:left w:val="none" w:sz="0" w:space="0" w:color="auto"/>
        <w:bottom w:val="none" w:sz="0" w:space="0" w:color="auto"/>
        <w:right w:val="none" w:sz="0" w:space="0" w:color="auto"/>
      </w:divBdr>
    </w:div>
    <w:div w:id="891891856">
      <w:bodyDiv w:val="1"/>
      <w:marLeft w:val="0"/>
      <w:marRight w:val="0"/>
      <w:marTop w:val="0"/>
      <w:marBottom w:val="0"/>
      <w:divBdr>
        <w:top w:val="none" w:sz="0" w:space="0" w:color="auto"/>
        <w:left w:val="none" w:sz="0" w:space="0" w:color="auto"/>
        <w:bottom w:val="none" w:sz="0" w:space="0" w:color="auto"/>
        <w:right w:val="none" w:sz="0" w:space="0" w:color="auto"/>
      </w:divBdr>
    </w:div>
    <w:div w:id="907349737">
      <w:bodyDiv w:val="1"/>
      <w:marLeft w:val="0"/>
      <w:marRight w:val="0"/>
      <w:marTop w:val="0"/>
      <w:marBottom w:val="0"/>
      <w:divBdr>
        <w:top w:val="none" w:sz="0" w:space="0" w:color="auto"/>
        <w:left w:val="none" w:sz="0" w:space="0" w:color="auto"/>
        <w:bottom w:val="none" w:sz="0" w:space="0" w:color="auto"/>
        <w:right w:val="none" w:sz="0" w:space="0" w:color="auto"/>
      </w:divBdr>
    </w:div>
    <w:div w:id="911237251">
      <w:bodyDiv w:val="1"/>
      <w:marLeft w:val="0"/>
      <w:marRight w:val="0"/>
      <w:marTop w:val="0"/>
      <w:marBottom w:val="0"/>
      <w:divBdr>
        <w:top w:val="none" w:sz="0" w:space="0" w:color="auto"/>
        <w:left w:val="none" w:sz="0" w:space="0" w:color="auto"/>
        <w:bottom w:val="none" w:sz="0" w:space="0" w:color="auto"/>
        <w:right w:val="none" w:sz="0" w:space="0" w:color="auto"/>
      </w:divBdr>
    </w:div>
    <w:div w:id="923993960">
      <w:bodyDiv w:val="1"/>
      <w:marLeft w:val="0"/>
      <w:marRight w:val="0"/>
      <w:marTop w:val="0"/>
      <w:marBottom w:val="0"/>
      <w:divBdr>
        <w:top w:val="none" w:sz="0" w:space="0" w:color="auto"/>
        <w:left w:val="none" w:sz="0" w:space="0" w:color="auto"/>
        <w:bottom w:val="none" w:sz="0" w:space="0" w:color="auto"/>
        <w:right w:val="none" w:sz="0" w:space="0" w:color="auto"/>
      </w:divBdr>
    </w:div>
    <w:div w:id="924194603">
      <w:bodyDiv w:val="1"/>
      <w:marLeft w:val="0"/>
      <w:marRight w:val="0"/>
      <w:marTop w:val="0"/>
      <w:marBottom w:val="0"/>
      <w:divBdr>
        <w:top w:val="none" w:sz="0" w:space="0" w:color="auto"/>
        <w:left w:val="none" w:sz="0" w:space="0" w:color="auto"/>
        <w:bottom w:val="none" w:sz="0" w:space="0" w:color="auto"/>
        <w:right w:val="none" w:sz="0" w:space="0" w:color="auto"/>
      </w:divBdr>
    </w:div>
    <w:div w:id="926309146">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36014028">
      <w:bodyDiv w:val="1"/>
      <w:marLeft w:val="0"/>
      <w:marRight w:val="0"/>
      <w:marTop w:val="0"/>
      <w:marBottom w:val="0"/>
      <w:divBdr>
        <w:top w:val="none" w:sz="0" w:space="0" w:color="auto"/>
        <w:left w:val="none" w:sz="0" w:space="0" w:color="auto"/>
        <w:bottom w:val="none" w:sz="0" w:space="0" w:color="auto"/>
        <w:right w:val="none" w:sz="0" w:space="0" w:color="auto"/>
      </w:divBdr>
    </w:div>
    <w:div w:id="943725595">
      <w:bodyDiv w:val="1"/>
      <w:marLeft w:val="0"/>
      <w:marRight w:val="0"/>
      <w:marTop w:val="0"/>
      <w:marBottom w:val="0"/>
      <w:divBdr>
        <w:top w:val="none" w:sz="0" w:space="0" w:color="auto"/>
        <w:left w:val="none" w:sz="0" w:space="0" w:color="auto"/>
        <w:bottom w:val="none" w:sz="0" w:space="0" w:color="auto"/>
        <w:right w:val="none" w:sz="0" w:space="0" w:color="auto"/>
      </w:divBdr>
    </w:div>
    <w:div w:id="990791151">
      <w:bodyDiv w:val="1"/>
      <w:marLeft w:val="0"/>
      <w:marRight w:val="0"/>
      <w:marTop w:val="0"/>
      <w:marBottom w:val="0"/>
      <w:divBdr>
        <w:top w:val="none" w:sz="0" w:space="0" w:color="auto"/>
        <w:left w:val="none" w:sz="0" w:space="0" w:color="auto"/>
        <w:bottom w:val="none" w:sz="0" w:space="0" w:color="auto"/>
        <w:right w:val="none" w:sz="0" w:space="0" w:color="auto"/>
      </w:divBdr>
    </w:div>
    <w:div w:id="1000817155">
      <w:bodyDiv w:val="1"/>
      <w:marLeft w:val="0"/>
      <w:marRight w:val="0"/>
      <w:marTop w:val="0"/>
      <w:marBottom w:val="0"/>
      <w:divBdr>
        <w:top w:val="none" w:sz="0" w:space="0" w:color="auto"/>
        <w:left w:val="none" w:sz="0" w:space="0" w:color="auto"/>
        <w:bottom w:val="none" w:sz="0" w:space="0" w:color="auto"/>
        <w:right w:val="none" w:sz="0" w:space="0" w:color="auto"/>
      </w:divBdr>
    </w:div>
    <w:div w:id="1016033709">
      <w:bodyDiv w:val="1"/>
      <w:marLeft w:val="0"/>
      <w:marRight w:val="0"/>
      <w:marTop w:val="0"/>
      <w:marBottom w:val="0"/>
      <w:divBdr>
        <w:top w:val="none" w:sz="0" w:space="0" w:color="auto"/>
        <w:left w:val="none" w:sz="0" w:space="0" w:color="auto"/>
        <w:bottom w:val="none" w:sz="0" w:space="0" w:color="auto"/>
        <w:right w:val="none" w:sz="0" w:space="0" w:color="auto"/>
      </w:divBdr>
    </w:div>
    <w:div w:id="1031151830">
      <w:bodyDiv w:val="1"/>
      <w:marLeft w:val="0"/>
      <w:marRight w:val="0"/>
      <w:marTop w:val="0"/>
      <w:marBottom w:val="0"/>
      <w:divBdr>
        <w:top w:val="none" w:sz="0" w:space="0" w:color="auto"/>
        <w:left w:val="none" w:sz="0" w:space="0" w:color="auto"/>
        <w:bottom w:val="none" w:sz="0" w:space="0" w:color="auto"/>
        <w:right w:val="none" w:sz="0" w:space="0" w:color="auto"/>
      </w:divBdr>
    </w:div>
    <w:div w:id="1035421945">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9645549">
      <w:bodyDiv w:val="1"/>
      <w:marLeft w:val="0"/>
      <w:marRight w:val="0"/>
      <w:marTop w:val="0"/>
      <w:marBottom w:val="0"/>
      <w:divBdr>
        <w:top w:val="none" w:sz="0" w:space="0" w:color="auto"/>
        <w:left w:val="none" w:sz="0" w:space="0" w:color="auto"/>
        <w:bottom w:val="none" w:sz="0" w:space="0" w:color="auto"/>
        <w:right w:val="none" w:sz="0" w:space="0" w:color="auto"/>
      </w:divBdr>
      <w:divsChild>
        <w:div w:id="913080251">
          <w:marLeft w:val="475"/>
          <w:marRight w:val="0"/>
          <w:marTop w:val="115"/>
          <w:marBottom w:val="0"/>
          <w:divBdr>
            <w:top w:val="none" w:sz="0" w:space="0" w:color="auto"/>
            <w:left w:val="none" w:sz="0" w:space="0" w:color="auto"/>
            <w:bottom w:val="none" w:sz="0" w:space="0" w:color="auto"/>
            <w:right w:val="none" w:sz="0" w:space="0" w:color="auto"/>
          </w:divBdr>
        </w:div>
        <w:div w:id="1233081408">
          <w:marLeft w:val="475"/>
          <w:marRight w:val="0"/>
          <w:marTop w:val="115"/>
          <w:marBottom w:val="0"/>
          <w:divBdr>
            <w:top w:val="none" w:sz="0" w:space="0" w:color="auto"/>
            <w:left w:val="none" w:sz="0" w:space="0" w:color="auto"/>
            <w:bottom w:val="none" w:sz="0" w:space="0" w:color="auto"/>
            <w:right w:val="none" w:sz="0" w:space="0" w:color="auto"/>
          </w:divBdr>
        </w:div>
      </w:divsChild>
    </w:div>
    <w:div w:id="1123571172">
      <w:bodyDiv w:val="1"/>
      <w:marLeft w:val="0"/>
      <w:marRight w:val="0"/>
      <w:marTop w:val="0"/>
      <w:marBottom w:val="0"/>
      <w:divBdr>
        <w:top w:val="none" w:sz="0" w:space="0" w:color="auto"/>
        <w:left w:val="none" w:sz="0" w:space="0" w:color="auto"/>
        <w:bottom w:val="none" w:sz="0" w:space="0" w:color="auto"/>
        <w:right w:val="none" w:sz="0" w:space="0" w:color="auto"/>
      </w:divBdr>
    </w:div>
    <w:div w:id="1127896990">
      <w:bodyDiv w:val="1"/>
      <w:marLeft w:val="0"/>
      <w:marRight w:val="0"/>
      <w:marTop w:val="0"/>
      <w:marBottom w:val="0"/>
      <w:divBdr>
        <w:top w:val="none" w:sz="0" w:space="0" w:color="auto"/>
        <w:left w:val="none" w:sz="0" w:space="0" w:color="auto"/>
        <w:bottom w:val="none" w:sz="0" w:space="0" w:color="auto"/>
        <w:right w:val="none" w:sz="0" w:space="0" w:color="auto"/>
      </w:divBdr>
    </w:div>
    <w:div w:id="1148666565">
      <w:bodyDiv w:val="1"/>
      <w:marLeft w:val="0"/>
      <w:marRight w:val="0"/>
      <w:marTop w:val="0"/>
      <w:marBottom w:val="0"/>
      <w:divBdr>
        <w:top w:val="none" w:sz="0" w:space="0" w:color="auto"/>
        <w:left w:val="none" w:sz="0" w:space="0" w:color="auto"/>
        <w:bottom w:val="none" w:sz="0" w:space="0" w:color="auto"/>
        <w:right w:val="none" w:sz="0" w:space="0" w:color="auto"/>
      </w:divBdr>
    </w:div>
    <w:div w:id="1188523639">
      <w:bodyDiv w:val="1"/>
      <w:marLeft w:val="0"/>
      <w:marRight w:val="0"/>
      <w:marTop w:val="0"/>
      <w:marBottom w:val="0"/>
      <w:divBdr>
        <w:top w:val="none" w:sz="0" w:space="0" w:color="auto"/>
        <w:left w:val="none" w:sz="0" w:space="0" w:color="auto"/>
        <w:bottom w:val="none" w:sz="0" w:space="0" w:color="auto"/>
        <w:right w:val="none" w:sz="0" w:space="0" w:color="auto"/>
      </w:divBdr>
    </w:div>
    <w:div w:id="11916031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33">
          <w:marLeft w:val="0"/>
          <w:marRight w:val="0"/>
          <w:marTop w:val="0"/>
          <w:marBottom w:val="0"/>
          <w:divBdr>
            <w:top w:val="none" w:sz="0" w:space="0" w:color="auto"/>
            <w:left w:val="none" w:sz="0" w:space="0" w:color="auto"/>
            <w:bottom w:val="none" w:sz="0" w:space="0" w:color="auto"/>
            <w:right w:val="none" w:sz="0" w:space="0" w:color="auto"/>
          </w:divBdr>
          <w:divsChild>
            <w:div w:id="1218199104">
              <w:marLeft w:val="0"/>
              <w:marRight w:val="0"/>
              <w:marTop w:val="0"/>
              <w:marBottom w:val="0"/>
              <w:divBdr>
                <w:top w:val="none" w:sz="0" w:space="0" w:color="auto"/>
                <w:left w:val="none" w:sz="0" w:space="0" w:color="auto"/>
                <w:bottom w:val="none" w:sz="0" w:space="0" w:color="auto"/>
                <w:right w:val="none" w:sz="0" w:space="0" w:color="auto"/>
              </w:divBdr>
              <w:divsChild>
                <w:div w:id="765922523">
                  <w:marLeft w:val="0"/>
                  <w:marRight w:val="0"/>
                  <w:marTop w:val="0"/>
                  <w:marBottom w:val="0"/>
                  <w:divBdr>
                    <w:top w:val="none" w:sz="0" w:space="0" w:color="auto"/>
                    <w:left w:val="none" w:sz="0" w:space="0" w:color="auto"/>
                    <w:bottom w:val="none" w:sz="0" w:space="0" w:color="auto"/>
                    <w:right w:val="none" w:sz="0" w:space="0" w:color="auto"/>
                  </w:divBdr>
                  <w:divsChild>
                    <w:div w:id="2023777935">
                      <w:marLeft w:val="0"/>
                      <w:marRight w:val="0"/>
                      <w:marTop w:val="0"/>
                      <w:marBottom w:val="600"/>
                      <w:divBdr>
                        <w:top w:val="none" w:sz="0" w:space="0" w:color="auto"/>
                        <w:left w:val="none" w:sz="0" w:space="0" w:color="auto"/>
                        <w:bottom w:val="none" w:sz="0" w:space="0" w:color="auto"/>
                        <w:right w:val="none" w:sz="0" w:space="0" w:color="auto"/>
                      </w:divBdr>
                      <w:divsChild>
                        <w:div w:id="1555191537">
                          <w:marLeft w:val="0"/>
                          <w:marRight w:val="0"/>
                          <w:marTop w:val="0"/>
                          <w:marBottom w:val="0"/>
                          <w:divBdr>
                            <w:top w:val="none" w:sz="0" w:space="0" w:color="auto"/>
                            <w:left w:val="none" w:sz="0" w:space="0" w:color="auto"/>
                            <w:bottom w:val="none" w:sz="0" w:space="0" w:color="auto"/>
                            <w:right w:val="none" w:sz="0" w:space="0" w:color="auto"/>
                          </w:divBdr>
                          <w:divsChild>
                            <w:div w:id="1654526523">
                              <w:marLeft w:val="0"/>
                              <w:marRight w:val="0"/>
                              <w:marTop w:val="0"/>
                              <w:marBottom w:val="0"/>
                              <w:divBdr>
                                <w:top w:val="none" w:sz="0" w:space="0" w:color="auto"/>
                                <w:left w:val="none" w:sz="0" w:space="0" w:color="auto"/>
                                <w:bottom w:val="none" w:sz="0" w:space="0" w:color="auto"/>
                                <w:right w:val="none" w:sz="0" w:space="0" w:color="auto"/>
                              </w:divBdr>
                              <w:divsChild>
                                <w:div w:id="1601571817">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95079806">
      <w:bodyDiv w:val="1"/>
      <w:marLeft w:val="0"/>
      <w:marRight w:val="0"/>
      <w:marTop w:val="0"/>
      <w:marBottom w:val="0"/>
      <w:divBdr>
        <w:top w:val="none" w:sz="0" w:space="0" w:color="auto"/>
        <w:left w:val="none" w:sz="0" w:space="0" w:color="auto"/>
        <w:bottom w:val="none" w:sz="0" w:space="0" w:color="auto"/>
        <w:right w:val="none" w:sz="0" w:space="0" w:color="auto"/>
      </w:divBdr>
    </w:div>
    <w:div w:id="1206794054">
      <w:bodyDiv w:val="1"/>
      <w:marLeft w:val="0"/>
      <w:marRight w:val="0"/>
      <w:marTop w:val="0"/>
      <w:marBottom w:val="0"/>
      <w:divBdr>
        <w:top w:val="none" w:sz="0" w:space="0" w:color="auto"/>
        <w:left w:val="none" w:sz="0" w:space="0" w:color="auto"/>
        <w:bottom w:val="none" w:sz="0" w:space="0" w:color="auto"/>
        <w:right w:val="none" w:sz="0" w:space="0" w:color="auto"/>
      </w:divBdr>
    </w:div>
    <w:div w:id="1209076311">
      <w:bodyDiv w:val="1"/>
      <w:marLeft w:val="0"/>
      <w:marRight w:val="0"/>
      <w:marTop w:val="0"/>
      <w:marBottom w:val="0"/>
      <w:divBdr>
        <w:top w:val="none" w:sz="0" w:space="0" w:color="auto"/>
        <w:left w:val="none" w:sz="0" w:space="0" w:color="auto"/>
        <w:bottom w:val="none" w:sz="0" w:space="0" w:color="auto"/>
        <w:right w:val="none" w:sz="0" w:space="0" w:color="auto"/>
      </w:divBdr>
      <w:divsChild>
        <w:div w:id="1803227019">
          <w:marLeft w:val="0"/>
          <w:marRight w:val="0"/>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677654914">
                  <w:marLeft w:val="0"/>
                  <w:marRight w:val="0"/>
                  <w:marTop w:val="0"/>
                  <w:marBottom w:val="0"/>
                  <w:divBdr>
                    <w:top w:val="none" w:sz="0" w:space="0" w:color="auto"/>
                    <w:left w:val="none" w:sz="0" w:space="0" w:color="auto"/>
                    <w:bottom w:val="none" w:sz="0" w:space="0" w:color="auto"/>
                    <w:right w:val="none" w:sz="0" w:space="0" w:color="auto"/>
                  </w:divBdr>
                  <w:divsChild>
                    <w:div w:id="696807213">
                      <w:marLeft w:val="0"/>
                      <w:marRight w:val="0"/>
                      <w:marTop w:val="0"/>
                      <w:marBottom w:val="0"/>
                      <w:divBdr>
                        <w:top w:val="none" w:sz="0" w:space="0" w:color="auto"/>
                        <w:left w:val="none" w:sz="0" w:space="0" w:color="auto"/>
                        <w:bottom w:val="none" w:sz="0" w:space="0" w:color="auto"/>
                        <w:right w:val="none" w:sz="0" w:space="0" w:color="auto"/>
                      </w:divBdr>
                      <w:divsChild>
                        <w:div w:id="1214973326">
                          <w:marLeft w:val="0"/>
                          <w:marRight w:val="0"/>
                          <w:marTop w:val="0"/>
                          <w:marBottom w:val="0"/>
                          <w:divBdr>
                            <w:top w:val="none" w:sz="0" w:space="0" w:color="auto"/>
                            <w:left w:val="none" w:sz="0" w:space="0" w:color="auto"/>
                            <w:bottom w:val="none" w:sz="0" w:space="0" w:color="auto"/>
                            <w:right w:val="none" w:sz="0" w:space="0" w:color="auto"/>
                          </w:divBdr>
                          <w:divsChild>
                            <w:div w:id="167405640">
                              <w:marLeft w:val="0"/>
                              <w:marRight w:val="0"/>
                              <w:marTop w:val="0"/>
                              <w:marBottom w:val="0"/>
                              <w:divBdr>
                                <w:top w:val="none" w:sz="0" w:space="0" w:color="auto"/>
                                <w:left w:val="none" w:sz="0" w:space="0" w:color="auto"/>
                                <w:bottom w:val="none" w:sz="0" w:space="0" w:color="auto"/>
                                <w:right w:val="none" w:sz="0" w:space="0" w:color="auto"/>
                              </w:divBdr>
                              <w:divsChild>
                                <w:div w:id="1523518585">
                                  <w:marLeft w:val="0"/>
                                  <w:marRight w:val="0"/>
                                  <w:marTop w:val="0"/>
                                  <w:marBottom w:val="0"/>
                                  <w:divBdr>
                                    <w:top w:val="none" w:sz="0" w:space="0" w:color="auto"/>
                                    <w:left w:val="none" w:sz="0" w:space="0" w:color="auto"/>
                                    <w:bottom w:val="none" w:sz="0" w:space="0" w:color="auto"/>
                                    <w:right w:val="none" w:sz="0" w:space="0" w:color="auto"/>
                                  </w:divBdr>
                                  <w:divsChild>
                                    <w:div w:id="1843354739">
                                      <w:marLeft w:val="0"/>
                                      <w:marRight w:val="0"/>
                                      <w:marTop w:val="0"/>
                                      <w:marBottom w:val="0"/>
                                      <w:divBdr>
                                        <w:top w:val="none" w:sz="0" w:space="0" w:color="auto"/>
                                        <w:left w:val="none" w:sz="0" w:space="0" w:color="auto"/>
                                        <w:bottom w:val="none" w:sz="0" w:space="0" w:color="auto"/>
                                        <w:right w:val="none" w:sz="0" w:space="0" w:color="auto"/>
                                      </w:divBdr>
                                      <w:divsChild>
                                        <w:div w:id="338194893">
                                          <w:marLeft w:val="0"/>
                                          <w:marRight w:val="0"/>
                                          <w:marTop w:val="0"/>
                                          <w:marBottom w:val="0"/>
                                          <w:divBdr>
                                            <w:top w:val="none" w:sz="0" w:space="0" w:color="auto"/>
                                            <w:left w:val="none" w:sz="0" w:space="0" w:color="auto"/>
                                            <w:bottom w:val="none" w:sz="0" w:space="0" w:color="auto"/>
                                            <w:right w:val="none" w:sz="0" w:space="0" w:color="auto"/>
                                          </w:divBdr>
                                          <w:divsChild>
                                            <w:div w:id="1163395546">
                                              <w:marLeft w:val="0"/>
                                              <w:marRight w:val="0"/>
                                              <w:marTop w:val="0"/>
                                              <w:marBottom w:val="0"/>
                                              <w:divBdr>
                                                <w:top w:val="none" w:sz="0" w:space="0" w:color="auto"/>
                                                <w:left w:val="none" w:sz="0" w:space="0" w:color="auto"/>
                                                <w:bottom w:val="none" w:sz="0" w:space="0" w:color="auto"/>
                                                <w:right w:val="none" w:sz="0" w:space="0" w:color="auto"/>
                                              </w:divBdr>
                                              <w:divsChild>
                                                <w:div w:id="704520947">
                                                  <w:marLeft w:val="0"/>
                                                  <w:marRight w:val="0"/>
                                                  <w:marTop w:val="0"/>
                                                  <w:marBottom w:val="0"/>
                                                  <w:divBdr>
                                                    <w:top w:val="none" w:sz="0" w:space="0" w:color="auto"/>
                                                    <w:left w:val="none" w:sz="0" w:space="0" w:color="auto"/>
                                                    <w:bottom w:val="none" w:sz="0" w:space="0" w:color="auto"/>
                                                    <w:right w:val="none" w:sz="0" w:space="0" w:color="auto"/>
                                                  </w:divBdr>
                                                  <w:divsChild>
                                                    <w:div w:id="684794246">
                                                      <w:marLeft w:val="0"/>
                                                      <w:marRight w:val="0"/>
                                                      <w:marTop w:val="0"/>
                                                      <w:marBottom w:val="0"/>
                                                      <w:divBdr>
                                                        <w:top w:val="none" w:sz="0" w:space="0" w:color="auto"/>
                                                        <w:left w:val="none" w:sz="0" w:space="0" w:color="auto"/>
                                                        <w:bottom w:val="none" w:sz="0" w:space="0" w:color="auto"/>
                                                        <w:right w:val="none" w:sz="0" w:space="0" w:color="auto"/>
                                                      </w:divBdr>
                                                      <w:divsChild>
                                                        <w:div w:id="522475040">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315"/>
                                                              <w:marBottom w:val="0"/>
                                                              <w:divBdr>
                                                                <w:top w:val="none" w:sz="0" w:space="0" w:color="auto"/>
                                                                <w:left w:val="none" w:sz="0" w:space="0" w:color="auto"/>
                                                                <w:bottom w:val="none" w:sz="0" w:space="0" w:color="auto"/>
                                                                <w:right w:val="none" w:sz="0" w:space="0" w:color="auto"/>
                                                              </w:divBdr>
                                                              <w:divsChild>
                                                                <w:div w:id="383797068">
                                                                  <w:marLeft w:val="0"/>
                                                                  <w:marRight w:val="0"/>
                                                                  <w:marTop w:val="0"/>
                                                                  <w:marBottom w:val="675"/>
                                                                  <w:divBdr>
                                                                    <w:top w:val="none" w:sz="0" w:space="0" w:color="auto"/>
                                                                    <w:left w:val="none" w:sz="0" w:space="0" w:color="auto"/>
                                                                    <w:bottom w:val="none" w:sz="0" w:space="0" w:color="auto"/>
                                                                    <w:right w:val="none" w:sz="0" w:space="0" w:color="auto"/>
                                                                  </w:divBdr>
                                                                  <w:divsChild>
                                                                    <w:div w:id="1760980370">
                                                                      <w:marLeft w:val="0"/>
                                                                      <w:marRight w:val="0"/>
                                                                      <w:marTop w:val="300"/>
                                                                      <w:marBottom w:val="0"/>
                                                                      <w:divBdr>
                                                                        <w:top w:val="none" w:sz="0" w:space="0" w:color="auto"/>
                                                                        <w:left w:val="none" w:sz="0" w:space="0" w:color="auto"/>
                                                                        <w:bottom w:val="none" w:sz="0" w:space="0" w:color="auto"/>
                                                                        <w:right w:val="none" w:sz="0" w:space="0" w:color="auto"/>
                                                                      </w:divBdr>
                                                                      <w:divsChild>
                                                                        <w:div w:id="1547795938">
                                                                          <w:marLeft w:val="0"/>
                                                                          <w:marRight w:val="0"/>
                                                                          <w:marTop w:val="0"/>
                                                                          <w:marBottom w:val="0"/>
                                                                          <w:divBdr>
                                                                            <w:top w:val="none" w:sz="0" w:space="0" w:color="auto"/>
                                                                            <w:left w:val="none" w:sz="0" w:space="0" w:color="auto"/>
                                                                            <w:bottom w:val="none" w:sz="0" w:space="0" w:color="auto"/>
                                                                            <w:right w:val="none" w:sz="0" w:space="0" w:color="auto"/>
                                                                          </w:divBdr>
                                                                          <w:divsChild>
                                                                            <w:div w:id="542985310">
                                                                              <w:marLeft w:val="-150"/>
                                                                              <w:marRight w:val="0"/>
                                                                              <w:marTop w:val="0"/>
                                                                              <w:marBottom w:val="0"/>
                                                                              <w:divBdr>
                                                                                <w:top w:val="none" w:sz="0" w:space="0" w:color="auto"/>
                                                                                <w:left w:val="none" w:sz="0" w:space="0" w:color="auto"/>
                                                                                <w:bottom w:val="none" w:sz="0" w:space="0" w:color="auto"/>
                                                                                <w:right w:val="none" w:sz="0" w:space="0" w:color="auto"/>
                                                                              </w:divBdr>
                                                                              <w:divsChild>
                                                                                <w:div w:id="817838665">
                                                                                  <w:marLeft w:val="0"/>
                                                                                  <w:marRight w:val="0"/>
                                                                                  <w:marTop w:val="0"/>
                                                                                  <w:marBottom w:val="0"/>
                                                                                  <w:divBdr>
                                                                                    <w:top w:val="none" w:sz="0" w:space="0" w:color="auto"/>
                                                                                    <w:left w:val="none" w:sz="0" w:space="0" w:color="auto"/>
                                                                                    <w:bottom w:val="none" w:sz="0" w:space="0" w:color="auto"/>
                                                                                    <w:right w:val="none" w:sz="0" w:space="0" w:color="auto"/>
                                                                                  </w:divBdr>
                                                                                  <w:divsChild>
                                                                                    <w:div w:id="855996646">
                                                                                      <w:marLeft w:val="180"/>
                                                                                      <w:marRight w:val="0"/>
                                                                                      <w:marTop w:val="0"/>
                                                                                      <w:marBottom w:val="0"/>
                                                                                      <w:divBdr>
                                                                                        <w:top w:val="none" w:sz="0" w:space="0" w:color="auto"/>
                                                                                        <w:left w:val="none" w:sz="0" w:space="0" w:color="auto"/>
                                                                                        <w:bottom w:val="none" w:sz="0" w:space="0" w:color="auto"/>
                                                                                        <w:right w:val="none" w:sz="0" w:space="0" w:color="auto"/>
                                                                                      </w:divBdr>
                                                                                      <w:divsChild>
                                                                                        <w:div w:id="966394244">
                                                                                          <w:marLeft w:val="0"/>
                                                                                          <w:marRight w:val="0"/>
                                                                                          <w:marTop w:val="0"/>
                                                                                          <w:marBottom w:val="0"/>
                                                                                          <w:divBdr>
                                                                                            <w:top w:val="none" w:sz="0" w:space="0" w:color="auto"/>
                                                                                            <w:left w:val="none" w:sz="0" w:space="0" w:color="auto"/>
                                                                                            <w:bottom w:val="none" w:sz="0" w:space="0" w:color="auto"/>
                                                                                            <w:right w:val="none" w:sz="0" w:space="0" w:color="auto"/>
                                                                                          </w:divBdr>
                                                                                          <w:divsChild>
                                                                                            <w:div w:id="1071582133">
                                                                                              <w:marLeft w:val="0"/>
                                                                                              <w:marRight w:val="0"/>
                                                                                              <w:marTop w:val="0"/>
                                                                                              <w:marBottom w:val="0"/>
                                                                                              <w:divBdr>
                                                                                                <w:top w:val="none" w:sz="0" w:space="0" w:color="auto"/>
                                                                                                <w:left w:val="none" w:sz="0" w:space="0" w:color="auto"/>
                                                                                                <w:bottom w:val="none" w:sz="0" w:space="0" w:color="auto"/>
                                                                                                <w:right w:val="none" w:sz="0" w:space="0" w:color="auto"/>
                                                                                              </w:divBdr>
                                                                                              <w:divsChild>
                                                                                                <w:div w:id="1653826031">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393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916250">
      <w:bodyDiv w:val="1"/>
      <w:marLeft w:val="0"/>
      <w:marRight w:val="0"/>
      <w:marTop w:val="0"/>
      <w:marBottom w:val="0"/>
      <w:divBdr>
        <w:top w:val="none" w:sz="0" w:space="0" w:color="auto"/>
        <w:left w:val="none" w:sz="0" w:space="0" w:color="auto"/>
        <w:bottom w:val="none" w:sz="0" w:space="0" w:color="auto"/>
        <w:right w:val="none" w:sz="0" w:space="0" w:color="auto"/>
      </w:divBdr>
    </w:div>
    <w:div w:id="1218664499">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40872837">
      <w:bodyDiv w:val="1"/>
      <w:marLeft w:val="0"/>
      <w:marRight w:val="0"/>
      <w:marTop w:val="0"/>
      <w:marBottom w:val="0"/>
      <w:divBdr>
        <w:top w:val="none" w:sz="0" w:space="0" w:color="auto"/>
        <w:left w:val="none" w:sz="0" w:space="0" w:color="auto"/>
        <w:bottom w:val="none" w:sz="0" w:space="0" w:color="auto"/>
        <w:right w:val="none" w:sz="0" w:space="0" w:color="auto"/>
      </w:divBdr>
    </w:div>
    <w:div w:id="1260260370">
      <w:bodyDiv w:val="1"/>
      <w:marLeft w:val="0"/>
      <w:marRight w:val="0"/>
      <w:marTop w:val="0"/>
      <w:marBottom w:val="0"/>
      <w:divBdr>
        <w:top w:val="none" w:sz="0" w:space="0" w:color="auto"/>
        <w:left w:val="none" w:sz="0" w:space="0" w:color="auto"/>
        <w:bottom w:val="none" w:sz="0" w:space="0" w:color="auto"/>
        <w:right w:val="none" w:sz="0" w:space="0" w:color="auto"/>
      </w:divBdr>
    </w:div>
    <w:div w:id="1291596998">
      <w:bodyDiv w:val="1"/>
      <w:marLeft w:val="0"/>
      <w:marRight w:val="0"/>
      <w:marTop w:val="0"/>
      <w:marBottom w:val="0"/>
      <w:divBdr>
        <w:top w:val="none" w:sz="0" w:space="0" w:color="auto"/>
        <w:left w:val="none" w:sz="0" w:space="0" w:color="auto"/>
        <w:bottom w:val="none" w:sz="0" w:space="0" w:color="auto"/>
        <w:right w:val="none" w:sz="0" w:space="0" w:color="auto"/>
      </w:divBdr>
    </w:div>
    <w:div w:id="1303659732">
      <w:bodyDiv w:val="1"/>
      <w:marLeft w:val="0"/>
      <w:marRight w:val="0"/>
      <w:marTop w:val="0"/>
      <w:marBottom w:val="0"/>
      <w:divBdr>
        <w:top w:val="none" w:sz="0" w:space="0" w:color="auto"/>
        <w:left w:val="none" w:sz="0" w:space="0" w:color="auto"/>
        <w:bottom w:val="none" w:sz="0" w:space="0" w:color="auto"/>
        <w:right w:val="none" w:sz="0" w:space="0" w:color="auto"/>
      </w:divBdr>
      <w:divsChild>
        <w:div w:id="1878807923">
          <w:marLeft w:val="0"/>
          <w:marRight w:val="0"/>
          <w:marTop w:val="0"/>
          <w:marBottom w:val="0"/>
          <w:divBdr>
            <w:top w:val="none" w:sz="0" w:space="0" w:color="auto"/>
            <w:left w:val="none" w:sz="0" w:space="0" w:color="auto"/>
            <w:bottom w:val="none" w:sz="0" w:space="0" w:color="auto"/>
            <w:right w:val="none" w:sz="0" w:space="0" w:color="auto"/>
          </w:divBdr>
          <w:divsChild>
            <w:div w:id="238828488">
              <w:marLeft w:val="-225"/>
              <w:marRight w:val="-225"/>
              <w:marTop w:val="0"/>
              <w:marBottom w:val="0"/>
              <w:divBdr>
                <w:top w:val="none" w:sz="0" w:space="0" w:color="auto"/>
                <w:left w:val="none" w:sz="0" w:space="0" w:color="auto"/>
                <w:bottom w:val="none" w:sz="0" w:space="0" w:color="auto"/>
                <w:right w:val="none" w:sz="0" w:space="0" w:color="auto"/>
              </w:divBdr>
              <w:divsChild>
                <w:div w:id="1000736842">
                  <w:marLeft w:val="0"/>
                  <w:marRight w:val="0"/>
                  <w:marTop w:val="0"/>
                  <w:marBottom w:val="0"/>
                  <w:divBdr>
                    <w:top w:val="none" w:sz="0" w:space="0" w:color="auto"/>
                    <w:left w:val="none" w:sz="0" w:space="0" w:color="auto"/>
                    <w:bottom w:val="none" w:sz="0" w:space="0" w:color="auto"/>
                    <w:right w:val="none" w:sz="0" w:space="0" w:color="auto"/>
                  </w:divBdr>
                  <w:divsChild>
                    <w:div w:id="1202477948">
                      <w:marLeft w:val="0"/>
                      <w:marRight w:val="0"/>
                      <w:marTop w:val="0"/>
                      <w:marBottom w:val="0"/>
                      <w:divBdr>
                        <w:top w:val="none" w:sz="0" w:space="0" w:color="auto"/>
                        <w:left w:val="none" w:sz="0" w:space="0" w:color="auto"/>
                        <w:bottom w:val="none" w:sz="0" w:space="0" w:color="auto"/>
                        <w:right w:val="none" w:sz="0" w:space="0" w:color="auto"/>
                      </w:divBdr>
                      <w:divsChild>
                        <w:div w:id="1218127600">
                          <w:marLeft w:val="0"/>
                          <w:marRight w:val="0"/>
                          <w:marTop w:val="0"/>
                          <w:marBottom w:val="0"/>
                          <w:divBdr>
                            <w:top w:val="none" w:sz="0" w:space="0" w:color="auto"/>
                            <w:left w:val="none" w:sz="0" w:space="0" w:color="auto"/>
                            <w:bottom w:val="none" w:sz="0" w:space="0" w:color="auto"/>
                            <w:right w:val="none" w:sz="0" w:space="0" w:color="auto"/>
                          </w:divBdr>
                          <w:divsChild>
                            <w:div w:id="1407221060">
                              <w:marLeft w:val="0"/>
                              <w:marRight w:val="0"/>
                              <w:marTop w:val="0"/>
                              <w:marBottom w:val="0"/>
                              <w:divBdr>
                                <w:top w:val="none" w:sz="0" w:space="0" w:color="auto"/>
                                <w:left w:val="none" w:sz="0" w:space="0" w:color="auto"/>
                                <w:bottom w:val="none" w:sz="0" w:space="0" w:color="auto"/>
                                <w:right w:val="none" w:sz="0" w:space="0" w:color="auto"/>
                              </w:divBdr>
                              <w:divsChild>
                                <w:div w:id="29098419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386415721">
                                          <w:marLeft w:val="0"/>
                                          <w:marRight w:val="0"/>
                                          <w:marTop w:val="0"/>
                                          <w:marBottom w:val="0"/>
                                          <w:divBdr>
                                            <w:top w:val="none" w:sz="0" w:space="0" w:color="auto"/>
                                            <w:left w:val="none" w:sz="0" w:space="0" w:color="auto"/>
                                            <w:bottom w:val="none" w:sz="0" w:space="0" w:color="auto"/>
                                            <w:right w:val="none" w:sz="0" w:space="0" w:color="auto"/>
                                          </w:divBdr>
                                          <w:divsChild>
                                            <w:div w:id="1371105081">
                                              <w:marLeft w:val="0"/>
                                              <w:marRight w:val="0"/>
                                              <w:marTop w:val="0"/>
                                              <w:marBottom w:val="0"/>
                                              <w:divBdr>
                                                <w:top w:val="none" w:sz="0" w:space="0" w:color="auto"/>
                                                <w:left w:val="none" w:sz="0" w:space="0" w:color="auto"/>
                                                <w:bottom w:val="none" w:sz="0" w:space="0" w:color="auto"/>
                                                <w:right w:val="none" w:sz="0" w:space="0" w:color="auto"/>
                                              </w:divBdr>
                                              <w:divsChild>
                                                <w:div w:id="1849639169">
                                                  <w:marLeft w:val="0"/>
                                                  <w:marRight w:val="0"/>
                                                  <w:marTop w:val="0"/>
                                                  <w:marBottom w:val="0"/>
                                                  <w:divBdr>
                                                    <w:top w:val="none" w:sz="0" w:space="0" w:color="auto"/>
                                                    <w:left w:val="none" w:sz="0" w:space="0" w:color="auto"/>
                                                    <w:bottom w:val="none" w:sz="0" w:space="0" w:color="auto"/>
                                                    <w:right w:val="none" w:sz="0" w:space="0" w:color="auto"/>
                                                  </w:divBdr>
                                                  <w:divsChild>
                                                    <w:div w:id="1099570808">
                                                      <w:marLeft w:val="0"/>
                                                      <w:marRight w:val="0"/>
                                                      <w:marTop w:val="0"/>
                                                      <w:marBottom w:val="0"/>
                                                      <w:divBdr>
                                                        <w:top w:val="none" w:sz="0" w:space="0" w:color="auto"/>
                                                        <w:left w:val="none" w:sz="0" w:space="0" w:color="auto"/>
                                                        <w:bottom w:val="none" w:sz="0" w:space="0" w:color="auto"/>
                                                        <w:right w:val="none" w:sz="0" w:space="0" w:color="auto"/>
                                                      </w:divBdr>
                                                      <w:divsChild>
                                                        <w:div w:id="115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466">
                                          <w:marLeft w:val="0"/>
                                          <w:marRight w:val="0"/>
                                          <w:marTop w:val="0"/>
                                          <w:marBottom w:val="0"/>
                                          <w:divBdr>
                                            <w:top w:val="none" w:sz="0" w:space="0" w:color="auto"/>
                                            <w:left w:val="none" w:sz="0" w:space="0" w:color="auto"/>
                                            <w:bottom w:val="none" w:sz="0" w:space="0" w:color="auto"/>
                                            <w:right w:val="none" w:sz="0" w:space="0" w:color="auto"/>
                                          </w:divBdr>
                                          <w:divsChild>
                                            <w:div w:id="428429692">
                                              <w:marLeft w:val="0"/>
                                              <w:marRight w:val="0"/>
                                              <w:marTop w:val="0"/>
                                              <w:marBottom w:val="450"/>
                                              <w:divBdr>
                                                <w:top w:val="none" w:sz="0" w:space="0" w:color="auto"/>
                                                <w:left w:val="none" w:sz="0" w:space="0" w:color="auto"/>
                                                <w:bottom w:val="none" w:sz="0" w:space="0" w:color="auto"/>
                                                <w:right w:val="none" w:sz="0" w:space="0" w:color="auto"/>
                                              </w:divBdr>
                                              <w:divsChild>
                                                <w:div w:id="1963611426">
                                                  <w:marLeft w:val="0"/>
                                                  <w:marRight w:val="0"/>
                                                  <w:marTop w:val="0"/>
                                                  <w:marBottom w:val="0"/>
                                                  <w:divBdr>
                                                    <w:top w:val="none" w:sz="0" w:space="0" w:color="auto"/>
                                                    <w:left w:val="none" w:sz="0" w:space="0" w:color="auto"/>
                                                    <w:bottom w:val="none" w:sz="0" w:space="0" w:color="auto"/>
                                                    <w:right w:val="none" w:sz="0" w:space="0" w:color="auto"/>
                                                  </w:divBdr>
                                                  <w:divsChild>
                                                    <w:div w:id="883982281">
                                                      <w:marLeft w:val="0"/>
                                                      <w:marRight w:val="0"/>
                                                      <w:marTop w:val="0"/>
                                                      <w:marBottom w:val="0"/>
                                                      <w:divBdr>
                                                        <w:top w:val="none" w:sz="0" w:space="0" w:color="auto"/>
                                                        <w:left w:val="none" w:sz="0" w:space="0" w:color="auto"/>
                                                        <w:bottom w:val="none" w:sz="0" w:space="0" w:color="auto"/>
                                                        <w:right w:val="none" w:sz="0" w:space="0" w:color="auto"/>
                                                      </w:divBdr>
                                                      <w:divsChild>
                                                        <w:div w:id="61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355">
                                          <w:marLeft w:val="0"/>
                                          <w:marRight w:val="0"/>
                                          <w:marTop w:val="0"/>
                                          <w:marBottom w:val="0"/>
                                          <w:divBdr>
                                            <w:top w:val="none" w:sz="0" w:space="0" w:color="auto"/>
                                            <w:left w:val="none" w:sz="0" w:space="0" w:color="auto"/>
                                            <w:bottom w:val="none" w:sz="0" w:space="0" w:color="auto"/>
                                            <w:right w:val="none" w:sz="0" w:space="0" w:color="auto"/>
                                          </w:divBdr>
                                          <w:divsChild>
                                            <w:div w:id="465468598">
                                              <w:marLeft w:val="0"/>
                                              <w:marRight w:val="0"/>
                                              <w:marTop w:val="0"/>
                                              <w:marBottom w:val="0"/>
                                              <w:divBdr>
                                                <w:top w:val="none" w:sz="0" w:space="0" w:color="auto"/>
                                                <w:left w:val="none" w:sz="0" w:space="0" w:color="auto"/>
                                                <w:bottom w:val="none" w:sz="0" w:space="0" w:color="auto"/>
                                                <w:right w:val="none" w:sz="0" w:space="0" w:color="auto"/>
                                              </w:divBdr>
                                              <w:divsChild>
                                                <w:div w:id="170534165">
                                                  <w:marLeft w:val="0"/>
                                                  <w:marRight w:val="0"/>
                                                  <w:marTop w:val="0"/>
                                                  <w:marBottom w:val="0"/>
                                                  <w:divBdr>
                                                    <w:top w:val="none" w:sz="0" w:space="0" w:color="auto"/>
                                                    <w:left w:val="none" w:sz="0" w:space="0" w:color="auto"/>
                                                    <w:bottom w:val="none" w:sz="0" w:space="0" w:color="auto"/>
                                                    <w:right w:val="none" w:sz="0" w:space="0" w:color="auto"/>
                                                  </w:divBdr>
                                                  <w:divsChild>
                                                    <w:div w:id="682240650">
                                                      <w:marLeft w:val="0"/>
                                                      <w:marRight w:val="0"/>
                                                      <w:marTop w:val="0"/>
                                                      <w:marBottom w:val="0"/>
                                                      <w:divBdr>
                                                        <w:top w:val="none" w:sz="0" w:space="0" w:color="auto"/>
                                                        <w:left w:val="none" w:sz="0" w:space="0" w:color="auto"/>
                                                        <w:bottom w:val="none" w:sz="0" w:space="0" w:color="auto"/>
                                                        <w:right w:val="none" w:sz="0" w:space="0" w:color="auto"/>
                                                      </w:divBdr>
                                                      <w:divsChild>
                                                        <w:div w:id="283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17632">
      <w:bodyDiv w:val="1"/>
      <w:marLeft w:val="0"/>
      <w:marRight w:val="0"/>
      <w:marTop w:val="0"/>
      <w:marBottom w:val="0"/>
      <w:divBdr>
        <w:top w:val="none" w:sz="0" w:space="0" w:color="auto"/>
        <w:left w:val="none" w:sz="0" w:space="0" w:color="auto"/>
        <w:bottom w:val="none" w:sz="0" w:space="0" w:color="auto"/>
        <w:right w:val="none" w:sz="0" w:space="0" w:color="auto"/>
      </w:divBdr>
    </w:div>
    <w:div w:id="1327056148">
      <w:bodyDiv w:val="1"/>
      <w:marLeft w:val="0"/>
      <w:marRight w:val="0"/>
      <w:marTop w:val="0"/>
      <w:marBottom w:val="0"/>
      <w:divBdr>
        <w:top w:val="none" w:sz="0" w:space="0" w:color="auto"/>
        <w:left w:val="none" w:sz="0" w:space="0" w:color="auto"/>
        <w:bottom w:val="none" w:sz="0" w:space="0" w:color="auto"/>
        <w:right w:val="none" w:sz="0" w:space="0" w:color="auto"/>
      </w:divBdr>
    </w:div>
    <w:div w:id="1333795195">
      <w:bodyDiv w:val="1"/>
      <w:marLeft w:val="0"/>
      <w:marRight w:val="0"/>
      <w:marTop w:val="0"/>
      <w:marBottom w:val="0"/>
      <w:divBdr>
        <w:top w:val="none" w:sz="0" w:space="0" w:color="auto"/>
        <w:left w:val="none" w:sz="0" w:space="0" w:color="auto"/>
        <w:bottom w:val="none" w:sz="0" w:space="0" w:color="auto"/>
        <w:right w:val="none" w:sz="0" w:space="0" w:color="auto"/>
      </w:divBdr>
    </w:div>
    <w:div w:id="1335649436">
      <w:bodyDiv w:val="1"/>
      <w:marLeft w:val="0"/>
      <w:marRight w:val="0"/>
      <w:marTop w:val="0"/>
      <w:marBottom w:val="0"/>
      <w:divBdr>
        <w:top w:val="none" w:sz="0" w:space="0" w:color="auto"/>
        <w:left w:val="none" w:sz="0" w:space="0" w:color="auto"/>
        <w:bottom w:val="none" w:sz="0" w:space="0" w:color="auto"/>
        <w:right w:val="none" w:sz="0" w:space="0" w:color="auto"/>
      </w:divBdr>
    </w:div>
    <w:div w:id="1375544231">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95080023">
      <w:bodyDiv w:val="1"/>
      <w:marLeft w:val="0"/>
      <w:marRight w:val="0"/>
      <w:marTop w:val="0"/>
      <w:marBottom w:val="0"/>
      <w:divBdr>
        <w:top w:val="none" w:sz="0" w:space="0" w:color="auto"/>
        <w:left w:val="none" w:sz="0" w:space="0" w:color="auto"/>
        <w:bottom w:val="none" w:sz="0" w:space="0" w:color="auto"/>
        <w:right w:val="none" w:sz="0" w:space="0" w:color="auto"/>
      </w:divBdr>
      <w:divsChild>
        <w:div w:id="273483831">
          <w:marLeft w:val="446"/>
          <w:marRight w:val="0"/>
          <w:marTop w:val="0"/>
          <w:marBottom w:val="0"/>
          <w:divBdr>
            <w:top w:val="none" w:sz="0" w:space="0" w:color="auto"/>
            <w:left w:val="none" w:sz="0" w:space="0" w:color="auto"/>
            <w:bottom w:val="none" w:sz="0" w:space="0" w:color="auto"/>
            <w:right w:val="none" w:sz="0" w:space="0" w:color="auto"/>
          </w:divBdr>
        </w:div>
        <w:div w:id="1466695890">
          <w:marLeft w:val="446"/>
          <w:marRight w:val="0"/>
          <w:marTop w:val="0"/>
          <w:marBottom w:val="0"/>
          <w:divBdr>
            <w:top w:val="none" w:sz="0" w:space="0" w:color="auto"/>
            <w:left w:val="none" w:sz="0" w:space="0" w:color="auto"/>
            <w:bottom w:val="none" w:sz="0" w:space="0" w:color="auto"/>
            <w:right w:val="none" w:sz="0" w:space="0" w:color="auto"/>
          </w:divBdr>
        </w:div>
        <w:div w:id="1026954151">
          <w:marLeft w:val="446"/>
          <w:marRight w:val="0"/>
          <w:marTop w:val="0"/>
          <w:marBottom w:val="0"/>
          <w:divBdr>
            <w:top w:val="none" w:sz="0" w:space="0" w:color="auto"/>
            <w:left w:val="none" w:sz="0" w:space="0" w:color="auto"/>
            <w:bottom w:val="none" w:sz="0" w:space="0" w:color="auto"/>
            <w:right w:val="none" w:sz="0" w:space="0" w:color="auto"/>
          </w:divBdr>
        </w:div>
        <w:div w:id="1167093570">
          <w:marLeft w:val="446"/>
          <w:marRight w:val="0"/>
          <w:marTop w:val="0"/>
          <w:marBottom w:val="0"/>
          <w:divBdr>
            <w:top w:val="none" w:sz="0" w:space="0" w:color="auto"/>
            <w:left w:val="none" w:sz="0" w:space="0" w:color="auto"/>
            <w:bottom w:val="none" w:sz="0" w:space="0" w:color="auto"/>
            <w:right w:val="none" w:sz="0" w:space="0" w:color="auto"/>
          </w:divBdr>
        </w:div>
      </w:divsChild>
    </w:div>
    <w:div w:id="1395395595">
      <w:bodyDiv w:val="1"/>
      <w:marLeft w:val="0"/>
      <w:marRight w:val="0"/>
      <w:marTop w:val="0"/>
      <w:marBottom w:val="0"/>
      <w:divBdr>
        <w:top w:val="none" w:sz="0" w:space="0" w:color="auto"/>
        <w:left w:val="none" w:sz="0" w:space="0" w:color="auto"/>
        <w:bottom w:val="none" w:sz="0" w:space="0" w:color="auto"/>
        <w:right w:val="none" w:sz="0" w:space="0" w:color="auto"/>
      </w:divBdr>
    </w:div>
    <w:div w:id="1404570512">
      <w:bodyDiv w:val="1"/>
      <w:marLeft w:val="0"/>
      <w:marRight w:val="0"/>
      <w:marTop w:val="0"/>
      <w:marBottom w:val="0"/>
      <w:divBdr>
        <w:top w:val="none" w:sz="0" w:space="0" w:color="auto"/>
        <w:left w:val="none" w:sz="0" w:space="0" w:color="auto"/>
        <w:bottom w:val="none" w:sz="0" w:space="0" w:color="auto"/>
        <w:right w:val="none" w:sz="0" w:space="0" w:color="auto"/>
      </w:divBdr>
    </w:div>
    <w:div w:id="1406731128">
      <w:bodyDiv w:val="1"/>
      <w:marLeft w:val="0"/>
      <w:marRight w:val="0"/>
      <w:marTop w:val="0"/>
      <w:marBottom w:val="0"/>
      <w:divBdr>
        <w:top w:val="none" w:sz="0" w:space="0" w:color="auto"/>
        <w:left w:val="none" w:sz="0" w:space="0" w:color="auto"/>
        <w:bottom w:val="none" w:sz="0" w:space="0" w:color="auto"/>
        <w:right w:val="none" w:sz="0" w:space="0" w:color="auto"/>
      </w:divBdr>
    </w:div>
    <w:div w:id="1417896610">
      <w:bodyDiv w:val="1"/>
      <w:marLeft w:val="0"/>
      <w:marRight w:val="0"/>
      <w:marTop w:val="0"/>
      <w:marBottom w:val="0"/>
      <w:divBdr>
        <w:top w:val="none" w:sz="0" w:space="0" w:color="auto"/>
        <w:left w:val="none" w:sz="0" w:space="0" w:color="auto"/>
        <w:bottom w:val="none" w:sz="0" w:space="0" w:color="auto"/>
        <w:right w:val="none" w:sz="0" w:space="0" w:color="auto"/>
      </w:divBdr>
      <w:divsChild>
        <w:div w:id="2064940229">
          <w:marLeft w:val="446"/>
          <w:marRight w:val="0"/>
          <w:marTop w:val="0"/>
          <w:marBottom w:val="0"/>
          <w:divBdr>
            <w:top w:val="none" w:sz="0" w:space="0" w:color="auto"/>
            <w:left w:val="none" w:sz="0" w:space="0" w:color="auto"/>
            <w:bottom w:val="none" w:sz="0" w:space="0" w:color="auto"/>
            <w:right w:val="none" w:sz="0" w:space="0" w:color="auto"/>
          </w:divBdr>
        </w:div>
        <w:div w:id="1891769487">
          <w:marLeft w:val="446"/>
          <w:marRight w:val="0"/>
          <w:marTop w:val="0"/>
          <w:marBottom w:val="0"/>
          <w:divBdr>
            <w:top w:val="none" w:sz="0" w:space="0" w:color="auto"/>
            <w:left w:val="none" w:sz="0" w:space="0" w:color="auto"/>
            <w:bottom w:val="none" w:sz="0" w:space="0" w:color="auto"/>
            <w:right w:val="none" w:sz="0" w:space="0" w:color="auto"/>
          </w:divBdr>
        </w:div>
        <w:div w:id="822770937">
          <w:marLeft w:val="446"/>
          <w:marRight w:val="0"/>
          <w:marTop w:val="0"/>
          <w:marBottom w:val="0"/>
          <w:divBdr>
            <w:top w:val="none" w:sz="0" w:space="0" w:color="auto"/>
            <w:left w:val="none" w:sz="0" w:space="0" w:color="auto"/>
            <w:bottom w:val="none" w:sz="0" w:space="0" w:color="auto"/>
            <w:right w:val="none" w:sz="0" w:space="0" w:color="auto"/>
          </w:divBdr>
        </w:div>
        <w:div w:id="489634774">
          <w:marLeft w:val="446"/>
          <w:marRight w:val="0"/>
          <w:marTop w:val="0"/>
          <w:marBottom w:val="0"/>
          <w:divBdr>
            <w:top w:val="none" w:sz="0" w:space="0" w:color="auto"/>
            <w:left w:val="none" w:sz="0" w:space="0" w:color="auto"/>
            <w:bottom w:val="none" w:sz="0" w:space="0" w:color="auto"/>
            <w:right w:val="none" w:sz="0" w:space="0" w:color="auto"/>
          </w:divBdr>
        </w:div>
        <w:div w:id="1334526440">
          <w:marLeft w:val="446"/>
          <w:marRight w:val="0"/>
          <w:marTop w:val="0"/>
          <w:marBottom w:val="0"/>
          <w:divBdr>
            <w:top w:val="none" w:sz="0" w:space="0" w:color="auto"/>
            <w:left w:val="none" w:sz="0" w:space="0" w:color="auto"/>
            <w:bottom w:val="none" w:sz="0" w:space="0" w:color="auto"/>
            <w:right w:val="none" w:sz="0" w:space="0" w:color="auto"/>
          </w:divBdr>
        </w:div>
        <w:div w:id="260996540">
          <w:marLeft w:val="446"/>
          <w:marRight w:val="0"/>
          <w:marTop w:val="0"/>
          <w:marBottom w:val="0"/>
          <w:divBdr>
            <w:top w:val="none" w:sz="0" w:space="0" w:color="auto"/>
            <w:left w:val="none" w:sz="0" w:space="0" w:color="auto"/>
            <w:bottom w:val="none" w:sz="0" w:space="0" w:color="auto"/>
            <w:right w:val="none" w:sz="0" w:space="0" w:color="auto"/>
          </w:divBdr>
        </w:div>
        <w:div w:id="217980996">
          <w:marLeft w:val="446"/>
          <w:marRight w:val="0"/>
          <w:marTop w:val="0"/>
          <w:marBottom w:val="0"/>
          <w:divBdr>
            <w:top w:val="none" w:sz="0" w:space="0" w:color="auto"/>
            <w:left w:val="none" w:sz="0" w:space="0" w:color="auto"/>
            <w:bottom w:val="none" w:sz="0" w:space="0" w:color="auto"/>
            <w:right w:val="none" w:sz="0" w:space="0" w:color="auto"/>
          </w:divBdr>
        </w:div>
        <w:div w:id="1461193411">
          <w:marLeft w:val="446"/>
          <w:marRight w:val="0"/>
          <w:marTop w:val="0"/>
          <w:marBottom w:val="0"/>
          <w:divBdr>
            <w:top w:val="none" w:sz="0" w:space="0" w:color="auto"/>
            <w:left w:val="none" w:sz="0" w:space="0" w:color="auto"/>
            <w:bottom w:val="none" w:sz="0" w:space="0" w:color="auto"/>
            <w:right w:val="none" w:sz="0" w:space="0" w:color="auto"/>
          </w:divBdr>
        </w:div>
        <w:div w:id="272176241">
          <w:marLeft w:val="446"/>
          <w:marRight w:val="0"/>
          <w:marTop w:val="0"/>
          <w:marBottom w:val="0"/>
          <w:divBdr>
            <w:top w:val="none" w:sz="0" w:space="0" w:color="auto"/>
            <w:left w:val="none" w:sz="0" w:space="0" w:color="auto"/>
            <w:bottom w:val="none" w:sz="0" w:space="0" w:color="auto"/>
            <w:right w:val="none" w:sz="0" w:space="0" w:color="auto"/>
          </w:divBdr>
        </w:div>
      </w:divsChild>
    </w:div>
    <w:div w:id="1465805592">
      <w:bodyDiv w:val="1"/>
      <w:marLeft w:val="0"/>
      <w:marRight w:val="0"/>
      <w:marTop w:val="0"/>
      <w:marBottom w:val="0"/>
      <w:divBdr>
        <w:top w:val="none" w:sz="0" w:space="0" w:color="auto"/>
        <w:left w:val="none" w:sz="0" w:space="0" w:color="auto"/>
        <w:bottom w:val="none" w:sz="0" w:space="0" w:color="auto"/>
        <w:right w:val="none" w:sz="0" w:space="0" w:color="auto"/>
      </w:divBdr>
    </w:div>
    <w:div w:id="1466971218">
      <w:bodyDiv w:val="1"/>
      <w:marLeft w:val="0"/>
      <w:marRight w:val="0"/>
      <w:marTop w:val="0"/>
      <w:marBottom w:val="0"/>
      <w:divBdr>
        <w:top w:val="none" w:sz="0" w:space="0" w:color="auto"/>
        <w:left w:val="none" w:sz="0" w:space="0" w:color="auto"/>
        <w:bottom w:val="none" w:sz="0" w:space="0" w:color="auto"/>
        <w:right w:val="none" w:sz="0" w:space="0" w:color="auto"/>
      </w:divBdr>
    </w:div>
    <w:div w:id="1480995786">
      <w:bodyDiv w:val="1"/>
      <w:marLeft w:val="0"/>
      <w:marRight w:val="0"/>
      <w:marTop w:val="0"/>
      <w:marBottom w:val="0"/>
      <w:divBdr>
        <w:top w:val="none" w:sz="0" w:space="0" w:color="auto"/>
        <w:left w:val="none" w:sz="0" w:space="0" w:color="auto"/>
        <w:bottom w:val="none" w:sz="0" w:space="0" w:color="auto"/>
        <w:right w:val="none" w:sz="0" w:space="0" w:color="auto"/>
      </w:divBdr>
    </w:div>
    <w:div w:id="1513490625">
      <w:bodyDiv w:val="1"/>
      <w:marLeft w:val="0"/>
      <w:marRight w:val="0"/>
      <w:marTop w:val="0"/>
      <w:marBottom w:val="0"/>
      <w:divBdr>
        <w:top w:val="none" w:sz="0" w:space="0" w:color="auto"/>
        <w:left w:val="none" w:sz="0" w:space="0" w:color="auto"/>
        <w:bottom w:val="none" w:sz="0" w:space="0" w:color="auto"/>
        <w:right w:val="none" w:sz="0" w:space="0" w:color="auto"/>
      </w:divBdr>
    </w:div>
    <w:div w:id="1518040849">
      <w:bodyDiv w:val="1"/>
      <w:marLeft w:val="0"/>
      <w:marRight w:val="0"/>
      <w:marTop w:val="0"/>
      <w:marBottom w:val="0"/>
      <w:divBdr>
        <w:top w:val="none" w:sz="0" w:space="0" w:color="auto"/>
        <w:left w:val="none" w:sz="0" w:space="0" w:color="auto"/>
        <w:bottom w:val="none" w:sz="0" w:space="0" w:color="auto"/>
        <w:right w:val="none" w:sz="0" w:space="0" w:color="auto"/>
      </w:divBdr>
    </w:div>
    <w:div w:id="1553617391">
      <w:bodyDiv w:val="1"/>
      <w:marLeft w:val="0"/>
      <w:marRight w:val="0"/>
      <w:marTop w:val="0"/>
      <w:marBottom w:val="0"/>
      <w:divBdr>
        <w:top w:val="none" w:sz="0" w:space="0" w:color="auto"/>
        <w:left w:val="none" w:sz="0" w:space="0" w:color="auto"/>
        <w:bottom w:val="none" w:sz="0" w:space="0" w:color="auto"/>
        <w:right w:val="none" w:sz="0" w:space="0" w:color="auto"/>
      </w:divBdr>
    </w:div>
    <w:div w:id="1557544944">
      <w:bodyDiv w:val="1"/>
      <w:marLeft w:val="0"/>
      <w:marRight w:val="0"/>
      <w:marTop w:val="0"/>
      <w:marBottom w:val="0"/>
      <w:divBdr>
        <w:top w:val="none" w:sz="0" w:space="0" w:color="auto"/>
        <w:left w:val="none" w:sz="0" w:space="0" w:color="auto"/>
        <w:bottom w:val="none" w:sz="0" w:space="0" w:color="auto"/>
        <w:right w:val="none" w:sz="0" w:space="0" w:color="auto"/>
      </w:divBdr>
    </w:div>
    <w:div w:id="1570068763">
      <w:bodyDiv w:val="1"/>
      <w:marLeft w:val="0"/>
      <w:marRight w:val="0"/>
      <w:marTop w:val="0"/>
      <w:marBottom w:val="0"/>
      <w:divBdr>
        <w:top w:val="none" w:sz="0" w:space="0" w:color="auto"/>
        <w:left w:val="none" w:sz="0" w:space="0" w:color="auto"/>
        <w:bottom w:val="none" w:sz="0" w:space="0" w:color="auto"/>
        <w:right w:val="none" w:sz="0" w:space="0" w:color="auto"/>
      </w:divBdr>
    </w:div>
    <w:div w:id="1572233741">
      <w:bodyDiv w:val="1"/>
      <w:marLeft w:val="0"/>
      <w:marRight w:val="0"/>
      <w:marTop w:val="0"/>
      <w:marBottom w:val="0"/>
      <w:divBdr>
        <w:top w:val="none" w:sz="0" w:space="0" w:color="auto"/>
        <w:left w:val="none" w:sz="0" w:space="0" w:color="auto"/>
        <w:bottom w:val="none" w:sz="0" w:space="0" w:color="auto"/>
        <w:right w:val="none" w:sz="0" w:space="0" w:color="auto"/>
      </w:divBdr>
    </w:div>
    <w:div w:id="1577278796">
      <w:bodyDiv w:val="1"/>
      <w:marLeft w:val="0"/>
      <w:marRight w:val="0"/>
      <w:marTop w:val="0"/>
      <w:marBottom w:val="0"/>
      <w:divBdr>
        <w:top w:val="none" w:sz="0" w:space="0" w:color="auto"/>
        <w:left w:val="none" w:sz="0" w:space="0" w:color="auto"/>
        <w:bottom w:val="none" w:sz="0" w:space="0" w:color="auto"/>
        <w:right w:val="none" w:sz="0" w:space="0" w:color="auto"/>
      </w:divBdr>
    </w:div>
    <w:div w:id="1577783314">
      <w:bodyDiv w:val="1"/>
      <w:marLeft w:val="0"/>
      <w:marRight w:val="0"/>
      <w:marTop w:val="0"/>
      <w:marBottom w:val="0"/>
      <w:divBdr>
        <w:top w:val="none" w:sz="0" w:space="0" w:color="auto"/>
        <w:left w:val="none" w:sz="0" w:space="0" w:color="auto"/>
        <w:bottom w:val="none" w:sz="0" w:space="0" w:color="auto"/>
        <w:right w:val="none" w:sz="0" w:space="0" w:color="auto"/>
      </w:divBdr>
    </w:div>
    <w:div w:id="1578830403">
      <w:bodyDiv w:val="1"/>
      <w:marLeft w:val="0"/>
      <w:marRight w:val="0"/>
      <w:marTop w:val="0"/>
      <w:marBottom w:val="0"/>
      <w:divBdr>
        <w:top w:val="none" w:sz="0" w:space="0" w:color="auto"/>
        <w:left w:val="none" w:sz="0" w:space="0" w:color="auto"/>
        <w:bottom w:val="none" w:sz="0" w:space="0" w:color="auto"/>
        <w:right w:val="none" w:sz="0" w:space="0" w:color="auto"/>
      </w:divBdr>
    </w:div>
    <w:div w:id="1596552529">
      <w:bodyDiv w:val="1"/>
      <w:marLeft w:val="0"/>
      <w:marRight w:val="0"/>
      <w:marTop w:val="0"/>
      <w:marBottom w:val="0"/>
      <w:divBdr>
        <w:top w:val="none" w:sz="0" w:space="0" w:color="auto"/>
        <w:left w:val="none" w:sz="0" w:space="0" w:color="auto"/>
        <w:bottom w:val="none" w:sz="0" w:space="0" w:color="auto"/>
        <w:right w:val="none" w:sz="0" w:space="0" w:color="auto"/>
      </w:divBdr>
    </w:div>
    <w:div w:id="1602180007">
      <w:bodyDiv w:val="1"/>
      <w:marLeft w:val="0"/>
      <w:marRight w:val="0"/>
      <w:marTop w:val="0"/>
      <w:marBottom w:val="0"/>
      <w:divBdr>
        <w:top w:val="none" w:sz="0" w:space="0" w:color="auto"/>
        <w:left w:val="none" w:sz="0" w:space="0" w:color="auto"/>
        <w:bottom w:val="none" w:sz="0" w:space="0" w:color="auto"/>
        <w:right w:val="none" w:sz="0" w:space="0" w:color="auto"/>
      </w:divBdr>
      <w:divsChild>
        <w:div w:id="903300076">
          <w:marLeft w:val="0"/>
          <w:marRight w:val="0"/>
          <w:marTop w:val="0"/>
          <w:marBottom w:val="0"/>
          <w:divBdr>
            <w:top w:val="none" w:sz="0" w:space="0" w:color="auto"/>
            <w:left w:val="none" w:sz="0" w:space="0" w:color="auto"/>
            <w:bottom w:val="none" w:sz="0" w:space="0" w:color="auto"/>
            <w:right w:val="none" w:sz="0" w:space="0" w:color="auto"/>
          </w:divBdr>
          <w:divsChild>
            <w:div w:id="1274366088">
              <w:marLeft w:val="0"/>
              <w:marRight w:val="0"/>
              <w:marTop w:val="0"/>
              <w:marBottom w:val="0"/>
              <w:divBdr>
                <w:top w:val="none" w:sz="0" w:space="0" w:color="auto"/>
                <w:left w:val="none" w:sz="0" w:space="0" w:color="auto"/>
                <w:bottom w:val="none" w:sz="0" w:space="0" w:color="auto"/>
                <w:right w:val="none" w:sz="0" w:space="0" w:color="auto"/>
              </w:divBdr>
              <w:divsChild>
                <w:div w:id="221868252">
                  <w:marLeft w:val="0"/>
                  <w:marRight w:val="0"/>
                  <w:marTop w:val="0"/>
                  <w:marBottom w:val="0"/>
                  <w:divBdr>
                    <w:top w:val="none" w:sz="0" w:space="0" w:color="auto"/>
                    <w:left w:val="none" w:sz="0" w:space="0" w:color="auto"/>
                    <w:bottom w:val="none" w:sz="0" w:space="0" w:color="auto"/>
                    <w:right w:val="none" w:sz="0" w:space="0" w:color="auto"/>
                  </w:divBdr>
                  <w:divsChild>
                    <w:div w:id="693118378">
                      <w:marLeft w:val="0"/>
                      <w:marRight w:val="0"/>
                      <w:marTop w:val="0"/>
                      <w:marBottom w:val="600"/>
                      <w:divBdr>
                        <w:top w:val="none" w:sz="0" w:space="0" w:color="auto"/>
                        <w:left w:val="none" w:sz="0" w:space="0" w:color="auto"/>
                        <w:bottom w:val="none" w:sz="0" w:space="0" w:color="auto"/>
                        <w:right w:val="none" w:sz="0" w:space="0" w:color="auto"/>
                      </w:divBdr>
                      <w:divsChild>
                        <w:div w:id="1641112577">
                          <w:marLeft w:val="0"/>
                          <w:marRight w:val="0"/>
                          <w:marTop w:val="0"/>
                          <w:marBottom w:val="0"/>
                          <w:divBdr>
                            <w:top w:val="none" w:sz="0" w:space="0" w:color="auto"/>
                            <w:left w:val="none" w:sz="0" w:space="0" w:color="auto"/>
                            <w:bottom w:val="none" w:sz="0" w:space="0" w:color="auto"/>
                            <w:right w:val="none" w:sz="0" w:space="0" w:color="auto"/>
                          </w:divBdr>
                          <w:divsChild>
                            <w:div w:id="1814592860">
                              <w:marLeft w:val="0"/>
                              <w:marRight w:val="0"/>
                              <w:marTop w:val="0"/>
                              <w:marBottom w:val="0"/>
                              <w:divBdr>
                                <w:top w:val="none" w:sz="0" w:space="0" w:color="auto"/>
                                <w:left w:val="none" w:sz="0" w:space="0" w:color="auto"/>
                                <w:bottom w:val="none" w:sz="0" w:space="0" w:color="auto"/>
                                <w:right w:val="none" w:sz="0" w:space="0" w:color="auto"/>
                              </w:divBdr>
                              <w:divsChild>
                                <w:div w:id="1884171733">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07499348">
      <w:bodyDiv w:val="1"/>
      <w:marLeft w:val="0"/>
      <w:marRight w:val="0"/>
      <w:marTop w:val="0"/>
      <w:marBottom w:val="0"/>
      <w:divBdr>
        <w:top w:val="none" w:sz="0" w:space="0" w:color="auto"/>
        <w:left w:val="none" w:sz="0" w:space="0" w:color="auto"/>
        <w:bottom w:val="none" w:sz="0" w:space="0" w:color="auto"/>
        <w:right w:val="none" w:sz="0" w:space="0" w:color="auto"/>
      </w:divBdr>
      <w:divsChild>
        <w:div w:id="632714257">
          <w:marLeft w:val="0"/>
          <w:marRight w:val="0"/>
          <w:marTop w:val="0"/>
          <w:marBottom w:val="0"/>
          <w:divBdr>
            <w:top w:val="none" w:sz="0" w:space="0" w:color="auto"/>
            <w:left w:val="none" w:sz="0" w:space="0" w:color="auto"/>
            <w:bottom w:val="none" w:sz="0" w:space="0" w:color="auto"/>
            <w:right w:val="none" w:sz="0" w:space="0" w:color="auto"/>
          </w:divBdr>
          <w:divsChild>
            <w:div w:id="1465583030">
              <w:marLeft w:val="0"/>
              <w:marRight w:val="0"/>
              <w:marTop w:val="0"/>
              <w:marBottom w:val="0"/>
              <w:divBdr>
                <w:top w:val="none" w:sz="0" w:space="0" w:color="auto"/>
                <w:left w:val="none" w:sz="0" w:space="0" w:color="auto"/>
                <w:bottom w:val="none" w:sz="0" w:space="0" w:color="auto"/>
                <w:right w:val="none" w:sz="0" w:space="0" w:color="auto"/>
              </w:divBdr>
              <w:divsChild>
                <w:div w:id="1455707628">
                  <w:marLeft w:val="0"/>
                  <w:marRight w:val="0"/>
                  <w:marTop w:val="0"/>
                  <w:marBottom w:val="0"/>
                  <w:divBdr>
                    <w:top w:val="none" w:sz="0" w:space="0" w:color="auto"/>
                    <w:left w:val="none" w:sz="0" w:space="0" w:color="auto"/>
                    <w:bottom w:val="none" w:sz="0" w:space="0" w:color="auto"/>
                    <w:right w:val="none" w:sz="0" w:space="0" w:color="auto"/>
                  </w:divBdr>
                  <w:divsChild>
                    <w:div w:id="781729909">
                      <w:marLeft w:val="0"/>
                      <w:marRight w:val="0"/>
                      <w:marTop w:val="0"/>
                      <w:marBottom w:val="600"/>
                      <w:divBdr>
                        <w:top w:val="none" w:sz="0" w:space="0" w:color="auto"/>
                        <w:left w:val="none" w:sz="0" w:space="0" w:color="auto"/>
                        <w:bottom w:val="none" w:sz="0" w:space="0" w:color="auto"/>
                        <w:right w:val="none" w:sz="0" w:space="0" w:color="auto"/>
                      </w:divBdr>
                      <w:divsChild>
                        <w:div w:id="1803621722">
                          <w:marLeft w:val="0"/>
                          <w:marRight w:val="0"/>
                          <w:marTop w:val="0"/>
                          <w:marBottom w:val="0"/>
                          <w:divBdr>
                            <w:top w:val="none" w:sz="0" w:space="0" w:color="auto"/>
                            <w:left w:val="none" w:sz="0" w:space="0" w:color="auto"/>
                            <w:bottom w:val="none" w:sz="0" w:space="0" w:color="auto"/>
                            <w:right w:val="none" w:sz="0" w:space="0" w:color="auto"/>
                          </w:divBdr>
                          <w:divsChild>
                            <w:div w:id="1377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6263">
      <w:bodyDiv w:val="1"/>
      <w:marLeft w:val="0"/>
      <w:marRight w:val="0"/>
      <w:marTop w:val="0"/>
      <w:marBottom w:val="0"/>
      <w:divBdr>
        <w:top w:val="none" w:sz="0" w:space="0" w:color="auto"/>
        <w:left w:val="none" w:sz="0" w:space="0" w:color="auto"/>
        <w:bottom w:val="none" w:sz="0" w:space="0" w:color="auto"/>
        <w:right w:val="none" w:sz="0" w:space="0" w:color="auto"/>
      </w:divBdr>
    </w:div>
    <w:div w:id="1637564142">
      <w:bodyDiv w:val="1"/>
      <w:marLeft w:val="0"/>
      <w:marRight w:val="0"/>
      <w:marTop w:val="0"/>
      <w:marBottom w:val="0"/>
      <w:divBdr>
        <w:top w:val="none" w:sz="0" w:space="0" w:color="auto"/>
        <w:left w:val="none" w:sz="0" w:space="0" w:color="auto"/>
        <w:bottom w:val="none" w:sz="0" w:space="0" w:color="auto"/>
        <w:right w:val="none" w:sz="0" w:space="0" w:color="auto"/>
      </w:divBdr>
    </w:div>
    <w:div w:id="1649165125">
      <w:bodyDiv w:val="1"/>
      <w:marLeft w:val="0"/>
      <w:marRight w:val="0"/>
      <w:marTop w:val="0"/>
      <w:marBottom w:val="0"/>
      <w:divBdr>
        <w:top w:val="none" w:sz="0" w:space="0" w:color="auto"/>
        <w:left w:val="none" w:sz="0" w:space="0" w:color="auto"/>
        <w:bottom w:val="none" w:sz="0" w:space="0" w:color="auto"/>
        <w:right w:val="none" w:sz="0" w:space="0" w:color="auto"/>
      </w:divBdr>
    </w:div>
    <w:div w:id="1657370293">
      <w:bodyDiv w:val="1"/>
      <w:marLeft w:val="0"/>
      <w:marRight w:val="0"/>
      <w:marTop w:val="0"/>
      <w:marBottom w:val="0"/>
      <w:divBdr>
        <w:top w:val="none" w:sz="0" w:space="0" w:color="auto"/>
        <w:left w:val="none" w:sz="0" w:space="0" w:color="auto"/>
        <w:bottom w:val="none" w:sz="0" w:space="0" w:color="auto"/>
        <w:right w:val="none" w:sz="0" w:space="0" w:color="auto"/>
      </w:divBdr>
    </w:div>
    <w:div w:id="1667130629">
      <w:bodyDiv w:val="1"/>
      <w:marLeft w:val="0"/>
      <w:marRight w:val="0"/>
      <w:marTop w:val="0"/>
      <w:marBottom w:val="0"/>
      <w:divBdr>
        <w:top w:val="none" w:sz="0" w:space="0" w:color="auto"/>
        <w:left w:val="none" w:sz="0" w:space="0" w:color="auto"/>
        <w:bottom w:val="none" w:sz="0" w:space="0" w:color="auto"/>
        <w:right w:val="none" w:sz="0" w:space="0" w:color="auto"/>
      </w:divBdr>
    </w:div>
    <w:div w:id="1670979437">
      <w:bodyDiv w:val="1"/>
      <w:marLeft w:val="0"/>
      <w:marRight w:val="0"/>
      <w:marTop w:val="0"/>
      <w:marBottom w:val="0"/>
      <w:divBdr>
        <w:top w:val="none" w:sz="0" w:space="0" w:color="auto"/>
        <w:left w:val="none" w:sz="0" w:space="0" w:color="auto"/>
        <w:bottom w:val="none" w:sz="0" w:space="0" w:color="auto"/>
        <w:right w:val="none" w:sz="0" w:space="0" w:color="auto"/>
      </w:divBdr>
    </w:div>
    <w:div w:id="1675645027">
      <w:bodyDiv w:val="1"/>
      <w:marLeft w:val="0"/>
      <w:marRight w:val="0"/>
      <w:marTop w:val="0"/>
      <w:marBottom w:val="0"/>
      <w:divBdr>
        <w:top w:val="none" w:sz="0" w:space="0" w:color="auto"/>
        <w:left w:val="none" w:sz="0" w:space="0" w:color="auto"/>
        <w:bottom w:val="none" w:sz="0" w:space="0" w:color="auto"/>
        <w:right w:val="none" w:sz="0" w:space="0" w:color="auto"/>
      </w:divBdr>
    </w:div>
    <w:div w:id="1689865909">
      <w:bodyDiv w:val="1"/>
      <w:marLeft w:val="0"/>
      <w:marRight w:val="0"/>
      <w:marTop w:val="0"/>
      <w:marBottom w:val="0"/>
      <w:divBdr>
        <w:top w:val="none" w:sz="0" w:space="0" w:color="auto"/>
        <w:left w:val="none" w:sz="0" w:space="0" w:color="auto"/>
        <w:bottom w:val="none" w:sz="0" w:space="0" w:color="auto"/>
        <w:right w:val="none" w:sz="0" w:space="0" w:color="auto"/>
      </w:divBdr>
    </w:div>
    <w:div w:id="1708526967">
      <w:bodyDiv w:val="1"/>
      <w:marLeft w:val="0"/>
      <w:marRight w:val="0"/>
      <w:marTop w:val="0"/>
      <w:marBottom w:val="0"/>
      <w:divBdr>
        <w:top w:val="none" w:sz="0" w:space="0" w:color="auto"/>
        <w:left w:val="none" w:sz="0" w:space="0" w:color="auto"/>
        <w:bottom w:val="none" w:sz="0" w:space="0" w:color="auto"/>
        <w:right w:val="none" w:sz="0" w:space="0" w:color="auto"/>
      </w:divBdr>
    </w:div>
    <w:div w:id="1732342756">
      <w:bodyDiv w:val="1"/>
      <w:marLeft w:val="0"/>
      <w:marRight w:val="0"/>
      <w:marTop w:val="0"/>
      <w:marBottom w:val="0"/>
      <w:divBdr>
        <w:top w:val="none" w:sz="0" w:space="0" w:color="auto"/>
        <w:left w:val="none" w:sz="0" w:space="0" w:color="auto"/>
        <w:bottom w:val="none" w:sz="0" w:space="0" w:color="auto"/>
        <w:right w:val="none" w:sz="0" w:space="0" w:color="auto"/>
      </w:divBdr>
    </w:div>
    <w:div w:id="1752004375">
      <w:bodyDiv w:val="1"/>
      <w:marLeft w:val="0"/>
      <w:marRight w:val="0"/>
      <w:marTop w:val="0"/>
      <w:marBottom w:val="0"/>
      <w:divBdr>
        <w:top w:val="none" w:sz="0" w:space="0" w:color="auto"/>
        <w:left w:val="none" w:sz="0" w:space="0" w:color="auto"/>
        <w:bottom w:val="none" w:sz="0" w:space="0" w:color="auto"/>
        <w:right w:val="none" w:sz="0" w:space="0" w:color="auto"/>
      </w:divBdr>
    </w:div>
    <w:div w:id="1768652736">
      <w:bodyDiv w:val="1"/>
      <w:marLeft w:val="0"/>
      <w:marRight w:val="0"/>
      <w:marTop w:val="0"/>
      <w:marBottom w:val="0"/>
      <w:divBdr>
        <w:top w:val="none" w:sz="0" w:space="0" w:color="auto"/>
        <w:left w:val="none" w:sz="0" w:space="0" w:color="auto"/>
        <w:bottom w:val="none" w:sz="0" w:space="0" w:color="auto"/>
        <w:right w:val="none" w:sz="0" w:space="0" w:color="auto"/>
      </w:divBdr>
    </w:div>
    <w:div w:id="1782723529">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42156581">
      <w:bodyDiv w:val="1"/>
      <w:marLeft w:val="0"/>
      <w:marRight w:val="0"/>
      <w:marTop w:val="0"/>
      <w:marBottom w:val="0"/>
      <w:divBdr>
        <w:top w:val="none" w:sz="0" w:space="0" w:color="auto"/>
        <w:left w:val="none" w:sz="0" w:space="0" w:color="auto"/>
        <w:bottom w:val="none" w:sz="0" w:space="0" w:color="auto"/>
        <w:right w:val="none" w:sz="0" w:space="0" w:color="auto"/>
      </w:divBdr>
    </w:div>
    <w:div w:id="1848791109">
      <w:bodyDiv w:val="1"/>
      <w:marLeft w:val="0"/>
      <w:marRight w:val="0"/>
      <w:marTop w:val="0"/>
      <w:marBottom w:val="0"/>
      <w:divBdr>
        <w:top w:val="none" w:sz="0" w:space="0" w:color="auto"/>
        <w:left w:val="none" w:sz="0" w:space="0" w:color="auto"/>
        <w:bottom w:val="none" w:sz="0" w:space="0" w:color="auto"/>
        <w:right w:val="none" w:sz="0" w:space="0" w:color="auto"/>
      </w:divBdr>
    </w:div>
    <w:div w:id="1852336249">
      <w:bodyDiv w:val="1"/>
      <w:marLeft w:val="0"/>
      <w:marRight w:val="0"/>
      <w:marTop w:val="0"/>
      <w:marBottom w:val="0"/>
      <w:divBdr>
        <w:top w:val="none" w:sz="0" w:space="0" w:color="auto"/>
        <w:left w:val="none" w:sz="0" w:space="0" w:color="auto"/>
        <w:bottom w:val="none" w:sz="0" w:space="0" w:color="auto"/>
        <w:right w:val="none" w:sz="0" w:space="0" w:color="auto"/>
      </w:divBdr>
    </w:div>
    <w:div w:id="1858541260">
      <w:bodyDiv w:val="1"/>
      <w:marLeft w:val="0"/>
      <w:marRight w:val="0"/>
      <w:marTop w:val="0"/>
      <w:marBottom w:val="0"/>
      <w:divBdr>
        <w:top w:val="none" w:sz="0" w:space="0" w:color="auto"/>
        <w:left w:val="none" w:sz="0" w:space="0" w:color="auto"/>
        <w:bottom w:val="none" w:sz="0" w:space="0" w:color="auto"/>
        <w:right w:val="none" w:sz="0" w:space="0" w:color="auto"/>
      </w:divBdr>
    </w:div>
    <w:div w:id="1863975898">
      <w:bodyDiv w:val="1"/>
      <w:marLeft w:val="0"/>
      <w:marRight w:val="0"/>
      <w:marTop w:val="0"/>
      <w:marBottom w:val="0"/>
      <w:divBdr>
        <w:top w:val="none" w:sz="0" w:space="0" w:color="auto"/>
        <w:left w:val="none" w:sz="0" w:space="0" w:color="auto"/>
        <w:bottom w:val="none" w:sz="0" w:space="0" w:color="auto"/>
        <w:right w:val="none" w:sz="0" w:space="0" w:color="auto"/>
      </w:divBdr>
    </w:div>
    <w:div w:id="1867013110">
      <w:bodyDiv w:val="1"/>
      <w:marLeft w:val="0"/>
      <w:marRight w:val="0"/>
      <w:marTop w:val="0"/>
      <w:marBottom w:val="0"/>
      <w:divBdr>
        <w:top w:val="none" w:sz="0" w:space="0" w:color="auto"/>
        <w:left w:val="none" w:sz="0" w:space="0" w:color="auto"/>
        <w:bottom w:val="none" w:sz="0" w:space="0" w:color="auto"/>
        <w:right w:val="none" w:sz="0" w:space="0" w:color="auto"/>
      </w:divBdr>
    </w:div>
    <w:div w:id="1871140716">
      <w:bodyDiv w:val="1"/>
      <w:marLeft w:val="0"/>
      <w:marRight w:val="0"/>
      <w:marTop w:val="0"/>
      <w:marBottom w:val="0"/>
      <w:divBdr>
        <w:top w:val="none" w:sz="0" w:space="0" w:color="auto"/>
        <w:left w:val="none" w:sz="0" w:space="0" w:color="auto"/>
        <w:bottom w:val="none" w:sz="0" w:space="0" w:color="auto"/>
        <w:right w:val="none" w:sz="0" w:space="0" w:color="auto"/>
      </w:divBdr>
      <w:divsChild>
        <w:div w:id="514926110">
          <w:marLeft w:val="475"/>
          <w:marRight w:val="0"/>
          <w:marTop w:val="115"/>
          <w:marBottom w:val="0"/>
          <w:divBdr>
            <w:top w:val="none" w:sz="0" w:space="0" w:color="auto"/>
            <w:left w:val="none" w:sz="0" w:space="0" w:color="auto"/>
            <w:bottom w:val="none" w:sz="0" w:space="0" w:color="auto"/>
            <w:right w:val="none" w:sz="0" w:space="0" w:color="auto"/>
          </w:divBdr>
        </w:div>
        <w:div w:id="578714962">
          <w:marLeft w:val="475"/>
          <w:marRight w:val="0"/>
          <w:marTop w:val="115"/>
          <w:marBottom w:val="0"/>
          <w:divBdr>
            <w:top w:val="none" w:sz="0" w:space="0" w:color="auto"/>
            <w:left w:val="none" w:sz="0" w:space="0" w:color="auto"/>
            <w:bottom w:val="none" w:sz="0" w:space="0" w:color="auto"/>
            <w:right w:val="none" w:sz="0" w:space="0" w:color="auto"/>
          </w:divBdr>
        </w:div>
        <w:div w:id="1507748665">
          <w:marLeft w:val="475"/>
          <w:marRight w:val="0"/>
          <w:marTop w:val="115"/>
          <w:marBottom w:val="0"/>
          <w:divBdr>
            <w:top w:val="none" w:sz="0" w:space="0" w:color="auto"/>
            <w:left w:val="none" w:sz="0" w:space="0" w:color="auto"/>
            <w:bottom w:val="none" w:sz="0" w:space="0" w:color="auto"/>
            <w:right w:val="none" w:sz="0" w:space="0" w:color="auto"/>
          </w:divBdr>
        </w:div>
        <w:div w:id="2046052698">
          <w:marLeft w:val="475"/>
          <w:marRight w:val="0"/>
          <w:marTop w:val="115"/>
          <w:marBottom w:val="0"/>
          <w:divBdr>
            <w:top w:val="none" w:sz="0" w:space="0" w:color="auto"/>
            <w:left w:val="none" w:sz="0" w:space="0" w:color="auto"/>
            <w:bottom w:val="none" w:sz="0" w:space="0" w:color="auto"/>
            <w:right w:val="none" w:sz="0" w:space="0" w:color="auto"/>
          </w:divBdr>
        </w:div>
      </w:divsChild>
    </w:div>
    <w:div w:id="1871189306">
      <w:bodyDiv w:val="1"/>
      <w:marLeft w:val="0"/>
      <w:marRight w:val="0"/>
      <w:marTop w:val="0"/>
      <w:marBottom w:val="0"/>
      <w:divBdr>
        <w:top w:val="none" w:sz="0" w:space="0" w:color="auto"/>
        <w:left w:val="none" w:sz="0" w:space="0" w:color="auto"/>
        <w:bottom w:val="none" w:sz="0" w:space="0" w:color="auto"/>
        <w:right w:val="none" w:sz="0" w:space="0" w:color="auto"/>
      </w:divBdr>
    </w:div>
    <w:div w:id="1871650680">
      <w:bodyDiv w:val="1"/>
      <w:marLeft w:val="0"/>
      <w:marRight w:val="0"/>
      <w:marTop w:val="0"/>
      <w:marBottom w:val="0"/>
      <w:divBdr>
        <w:top w:val="none" w:sz="0" w:space="0" w:color="auto"/>
        <w:left w:val="none" w:sz="0" w:space="0" w:color="auto"/>
        <w:bottom w:val="none" w:sz="0" w:space="0" w:color="auto"/>
        <w:right w:val="none" w:sz="0" w:space="0" w:color="auto"/>
      </w:divBdr>
    </w:div>
    <w:div w:id="1872761400">
      <w:bodyDiv w:val="1"/>
      <w:marLeft w:val="0"/>
      <w:marRight w:val="0"/>
      <w:marTop w:val="0"/>
      <w:marBottom w:val="0"/>
      <w:divBdr>
        <w:top w:val="none" w:sz="0" w:space="0" w:color="auto"/>
        <w:left w:val="none" w:sz="0" w:space="0" w:color="auto"/>
        <w:bottom w:val="none" w:sz="0" w:space="0" w:color="auto"/>
        <w:right w:val="none" w:sz="0" w:space="0" w:color="auto"/>
      </w:divBdr>
    </w:div>
    <w:div w:id="1882671026">
      <w:bodyDiv w:val="1"/>
      <w:marLeft w:val="0"/>
      <w:marRight w:val="0"/>
      <w:marTop w:val="0"/>
      <w:marBottom w:val="0"/>
      <w:divBdr>
        <w:top w:val="none" w:sz="0" w:space="0" w:color="auto"/>
        <w:left w:val="none" w:sz="0" w:space="0" w:color="auto"/>
        <w:bottom w:val="none" w:sz="0" w:space="0" w:color="auto"/>
        <w:right w:val="none" w:sz="0" w:space="0" w:color="auto"/>
      </w:divBdr>
    </w:div>
    <w:div w:id="1897617558">
      <w:bodyDiv w:val="1"/>
      <w:marLeft w:val="0"/>
      <w:marRight w:val="0"/>
      <w:marTop w:val="0"/>
      <w:marBottom w:val="0"/>
      <w:divBdr>
        <w:top w:val="none" w:sz="0" w:space="0" w:color="auto"/>
        <w:left w:val="none" w:sz="0" w:space="0" w:color="auto"/>
        <w:bottom w:val="none" w:sz="0" w:space="0" w:color="auto"/>
        <w:right w:val="none" w:sz="0" w:space="0" w:color="auto"/>
      </w:divBdr>
    </w:div>
    <w:div w:id="1915430212">
      <w:bodyDiv w:val="1"/>
      <w:marLeft w:val="0"/>
      <w:marRight w:val="0"/>
      <w:marTop w:val="0"/>
      <w:marBottom w:val="0"/>
      <w:divBdr>
        <w:top w:val="none" w:sz="0" w:space="0" w:color="auto"/>
        <w:left w:val="none" w:sz="0" w:space="0" w:color="auto"/>
        <w:bottom w:val="none" w:sz="0" w:space="0" w:color="auto"/>
        <w:right w:val="none" w:sz="0" w:space="0" w:color="auto"/>
      </w:divBdr>
      <w:divsChild>
        <w:div w:id="505904307">
          <w:marLeft w:val="446"/>
          <w:marRight w:val="0"/>
          <w:marTop w:val="0"/>
          <w:marBottom w:val="0"/>
          <w:divBdr>
            <w:top w:val="none" w:sz="0" w:space="0" w:color="auto"/>
            <w:left w:val="none" w:sz="0" w:space="0" w:color="auto"/>
            <w:bottom w:val="none" w:sz="0" w:space="0" w:color="auto"/>
            <w:right w:val="none" w:sz="0" w:space="0" w:color="auto"/>
          </w:divBdr>
        </w:div>
        <w:div w:id="1875540616">
          <w:marLeft w:val="446"/>
          <w:marRight w:val="0"/>
          <w:marTop w:val="0"/>
          <w:marBottom w:val="0"/>
          <w:divBdr>
            <w:top w:val="none" w:sz="0" w:space="0" w:color="auto"/>
            <w:left w:val="none" w:sz="0" w:space="0" w:color="auto"/>
            <w:bottom w:val="none" w:sz="0" w:space="0" w:color="auto"/>
            <w:right w:val="none" w:sz="0" w:space="0" w:color="auto"/>
          </w:divBdr>
        </w:div>
        <w:div w:id="57216562">
          <w:marLeft w:val="446"/>
          <w:marRight w:val="0"/>
          <w:marTop w:val="0"/>
          <w:marBottom w:val="0"/>
          <w:divBdr>
            <w:top w:val="none" w:sz="0" w:space="0" w:color="auto"/>
            <w:left w:val="none" w:sz="0" w:space="0" w:color="auto"/>
            <w:bottom w:val="none" w:sz="0" w:space="0" w:color="auto"/>
            <w:right w:val="none" w:sz="0" w:space="0" w:color="auto"/>
          </w:divBdr>
        </w:div>
        <w:div w:id="362440727">
          <w:marLeft w:val="446"/>
          <w:marRight w:val="0"/>
          <w:marTop w:val="0"/>
          <w:marBottom w:val="0"/>
          <w:divBdr>
            <w:top w:val="none" w:sz="0" w:space="0" w:color="auto"/>
            <w:left w:val="none" w:sz="0" w:space="0" w:color="auto"/>
            <w:bottom w:val="none" w:sz="0" w:space="0" w:color="auto"/>
            <w:right w:val="none" w:sz="0" w:space="0" w:color="auto"/>
          </w:divBdr>
        </w:div>
        <w:div w:id="1064066995">
          <w:marLeft w:val="446"/>
          <w:marRight w:val="0"/>
          <w:marTop w:val="0"/>
          <w:marBottom w:val="0"/>
          <w:divBdr>
            <w:top w:val="none" w:sz="0" w:space="0" w:color="auto"/>
            <w:left w:val="none" w:sz="0" w:space="0" w:color="auto"/>
            <w:bottom w:val="none" w:sz="0" w:space="0" w:color="auto"/>
            <w:right w:val="none" w:sz="0" w:space="0" w:color="auto"/>
          </w:divBdr>
        </w:div>
        <w:div w:id="199632729">
          <w:marLeft w:val="446"/>
          <w:marRight w:val="0"/>
          <w:marTop w:val="0"/>
          <w:marBottom w:val="0"/>
          <w:divBdr>
            <w:top w:val="none" w:sz="0" w:space="0" w:color="auto"/>
            <w:left w:val="none" w:sz="0" w:space="0" w:color="auto"/>
            <w:bottom w:val="none" w:sz="0" w:space="0" w:color="auto"/>
            <w:right w:val="none" w:sz="0" w:space="0" w:color="auto"/>
          </w:divBdr>
        </w:div>
        <w:div w:id="855801469">
          <w:marLeft w:val="446"/>
          <w:marRight w:val="0"/>
          <w:marTop w:val="0"/>
          <w:marBottom w:val="0"/>
          <w:divBdr>
            <w:top w:val="none" w:sz="0" w:space="0" w:color="auto"/>
            <w:left w:val="none" w:sz="0" w:space="0" w:color="auto"/>
            <w:bottom w:val="none" w:sz="0" w:space="0" w:color="auto"/>
            <w:right w:val="none" w:sz="0" w:space="0" w:color="auto"/>
          </w:divBdr>
        </w:div>
        <w:div w:id="1951625774">
          <w:marLeft w:val="446"/>
          <w:marRight w:val="0"/>
          <w:marTop w:val="0"/>
          <w:marBottom w:val="0"/>
          <w:divBdr>
            <w:top w:val="none" w:sz="0" w:space="0" w:color="auto"/>
            <w:left w:val="none" w:sz="0" w:space="0" w:color="auto"/>
            <w:bottom w:val="none" w:sz="0" w:space="0" w:color="auto"/>
            <w:right w:val="none" w:sz="0" w:space="0" w:color="auto"/>
          </w:divBdr>
        </w:div>
        <w:div w:id="2128238114">
          <w:marLeft w:val="446"/>
          <w:marRight w:val="0"/>
          <w:marTop w:val="0"/>
          <w:marBottom w:val="0"/>
          <w:divBdr>
            <w:top w:val="none" w:sz="0" w:space="0" w:color="auto"/>
            <w:left w:val="none" w:sz="0" w:space="0" w:color="auto"/>
            <w:bottom w:val="none" w:sz="0" w:space="0" w:color="auto"/>
            <w:right w:val="none" w:sz="0" w:space="0" w:color="auto"/>
          </w:divBdr>
        </w:div>
      </w:divsChild>
    </w:div>
    <w:div w:id="1936089819">
      <w:bodyDiv w:val="1"/>
      <w:marLeft w:val="0"/>
      <w:marRight w:val="0"/>
      <w:marTop w:val="0"/>
      <w:marBottom w:val="0"/>
      <w:divBdr>
        <w:top w:val="none" w:sz="0" w:space="0" w:color="auto"/>
        <w:left w:val="none" w:sz="0" w:space="0" w:color="auto"/>
        <w:bottom w:val="none" w:sz="0" w:space="0" w:color="auto"/>
        <w:right w:val="none" w:sz="0" w:space="0" w:color="auto"/>
      </w:divBdr>
    </w:div>
    <w:div w:id="1954551869">
      <w:bodyDiv w:val="1"/>
      <w:marLeft w:val="0"/>
      <w:marRight w:val="0"/>
      <w:marTop w:val="0"/>
      <w:marBottom w:val="0"/>
      <w:divBdr>
        <w:top w:val="none" w:sz="0" w:space="0" w:color="auto"/>
        <w:left w:val="none" w:sz="0" w:space="0" w:color="auto"/>
        <w:bottom w:val="none" w:sz="0" w:space="0" w:color="auto"/>
        <w:right w:val="none" w:sz="0" w:space="0" w:color="auto"/>
      </w:divBdr>
      <w:divsChild>
        <w:div w:id="846990479">
          <w:marLeft w:val="547"/>
          <w:marRight w:val="0"/>
          <w:marTop w:val="0"/>
          <w:marBottom w:val="0"/>
          <w:divBdr>
            <w:top w:val="none" w:sz="0" w:space="0" w:color="auto"/>
            <w:left w:val="none" w:sz="0" w:space="0" w:color="auto"/>
            <w:bottom w:val="none" w:sz="0" w:space="0" w:color="auto"/>
            <w:right w:val="none" w:sz="0" w:space="0" w:color="auto"/>
          </w:divBdr>
        </w:div>
        <w:div w:id="497303760">
          <w:marLeft w:val="547"/>
          <w:marRight w:val="0"/>
          <w:marTop w:val="0"/>
          <w:marBottom w:val="0"/>
          <w:divBdr>
            <w:top w:val="none" w:sz="0" w:space="0" w:color="auto"/>
            <w:left w:val="none" w:sz="0" w:space="0" w:color="auto"/>
            <w:bottom w:val="none" w:sz="0" w:space="0" w:color="auto"/>
            <w:right w:val="none" w:sz="0" w:space="0" w:color="auto"/>
          </w:divBdr>
        </w:div>
      </w:divsChild>
    </w:div>
    <w:div w:id="1963807478">
      <w:bodyDiv w:val="1"/>
      <w:marLeft w:val="0"/>
      <w:marRight w:val="0"/>
      <w:marTop w:val="0"/>
      <w:marBottom w:val="0"/>
      <w:divBdr>
        <w:top w:val="none" w:sz="0" w:space="0" w:color="auto"/>
        <w:left w:val="none" w:sz="0" w:space="0" w:color="auto"/>
        <w:bottom w:val="none" w:sz="0" w:space="0" w:color="auto"/>
        <w:right w:val="none" w:sz="0" w:space="0" w:color="auto"/>
      </w:divBdr>
    </w:div>
    <w:div w:id="2014264209">
      <w:bodyDiv w:val="1"/>
      <w:marLeft w:val="0"/>
      <w:marRight w:val="0"/>
      <w:marTop w:val="0"/>
      <w:marBottom w:val="0"/>
      <w:divBdr>
        <w:top w:val="none" w:sz="0" w:space="0" w:color="auto"/>
        <w:left w:val="none" w:sz="0" w:space="0" w:color="auto"/>
        <w:bottom w:val="none" w:sz="0" w:space="0" w:color="auto"/>
        <w:right w:val="none" w:sz="0" w:space="0" w:color="auto"/>
      </w:divBdr>
    </w:div>
    <w:div w:id="2014987672">
      <w:bodyDiv w:val="1"/>
      <w:marLeft w:val="0"/>
      <w:marRight w:val="0"/>
      <w:marTop w:val="0"/>
      <w:marBottom w:val="0"/>
      <w:divBdr>
        <w:top w:val="none" w:sz="0" w:space="0" w:color="auto"/>
        <w:left w:val="none" w:sz="0" w:space="0" w:color="auto"/>
        <w:bottom w:val="none" w:sz="0" w:space="0" w:color="auto"/>
        <w:right w:val="none" w:sz="0" w:space="0" w:color="auto"/>
      </w:divBdr>
    </w:div>
    <w:div w:id="2017464365">
      <w:bodyDiv w:val="1"/>
      <w:marLeft w:val="0"/>
      <w:marRight w:val="0"/>
      <w:marTop w:val="0"/>
      <w:marBottom w:val="0"/>
      <w:divBdr>
        <w:top w:val="none" w:sz="0" w:space="0" w:color="auto"/>
        <w:left w:val="none" w:sz="0" w:space="0" w:color="auto"/>
        <w:bottom w:val="none" w:sz="0" w:space="0" w:color="auto"/>
        <w:right w:val="none" w:sz="0" w:space="0" w:color="auto"/>
      </w:divBdr>
    </w:div>
    <w:div w:id="2019849800">
      <w:bodyDiv w:val="1"/>
      <w:marLeft w:val="0"/>
      <w:marRight w:val="0"/>
      <w:marTop w:val="0"/>
      <w:marBottom w:val="0"/>
      <w:divBdr>
        <w:top w:val="none" w:sz="0" w:space="0" w:color="auto"/>
        <w:left w:val="none" w:sz="0" w:space="0" w:color="auto"/>
        <w:bottom w:val="none" w:sz="0" w:space="0" w:color="auto"/>
        <w:right w:val="none" w:sz="0" w:space="0" w:color="auto"/>
      </w:divBdr>
      <w:divsChild>
        <w:div w:id="270549807">
          <w:marLeft w:val="907"/>
          <w:marRight w:val="0"/>
          <w:marTop w:val="86"/>
          <w:marBottom w:val="0"/>
          <w:divBdr>
            <w:top w:val="none" w:sz="0" w:space="0" w:color="auto"/>
            <w:left w:val="none" w:sz="0" w:space="0" w:color="auto"/>
            <w:bottom w:val="none" w:sz="0" w:space="0" w:color="auto"/>
            <w:right w:val="none" w:sz="0" w:space="0" w:color="auto"/>
          </w:divBdr>
        </w:div>
        <w:div w:id="1633906202">
          <w:marLeft w:val="907"/>
          <w:marRight w:val="0"/>
          <w:marTop w:val="86"/>
          <w:marBottom w:val="0"/>
          <w:divBdr>
            <w:top w:val="none" w:sz="0" w:space="0" w:color="auto"/>
            <w:left w:val="none" w:sz="0" w:space="0" w:color="auto"/>
            <w:bottom w:val="none" w:sz="0" w:space="0" w:color="auto"/>
            <w:right w:val="none" w:sz="0" w:space="0" w:color="auto"/>
          </w:divBdr>
        </w:div>
      </w:divsChild>
    </w:div>
    <w:div w:id="2059165205">
      <w:bodyDiv w:val="1"/>
      <w:marLeft w:val="0"/>
      <w:marRight w:val="0"/>
      <w:marTop w:val="0"/>
      <w:marBottom w:val="0"/>
      <w:divBdr>
        <w:top w:val="none" w:sz="0" w:space="0" w:color="auto"/>
        <w:left w:val="none" w:sz="0" w:space="0" w:color="auto"/>
        <w:bottom w:val="none" w:sz="0" w:space="0" w:color="auto"/>
        <w:right w:val="none" w:sz="0" w:space="0" w:color="auto"/>
      </w:divBdr>
      <w:divsChild>
        <w:div w:id="1487866023">
          <w:marLeft w:val="0"/>
          <w:marRight w:val="0"/>
          <w:marTop w:val="0"/>
          <w:marBottom w:val="0"/>
          <w:divBdr>
            <w:top w:val="none" w:sz="0" w:space="0" w:color="auto"/>
            <w:left w:val="none" w:sz="0" w:space="0" w:color="auto"/>
            <w:bottom w:val="none" w:sz="0" w:space="0" w:color="auto"/>
            <w:right w:val="none" w:sz="0" w:space="0" w:color="auto"/>
          </w:divBdr>
          <w:divsChild>
            <w:div w:id="1218010965">
              <w:marLeft w:val="0"/>
              <w:marRight w:val="0"/>
              <w:marTop w:val="0"/>
              <w:marBottom w:val="0"/>
              <w:divBdr>
                <w:top w:val="none" w:sz="0" w:space="0" w:color="auto"/>
                <w:left w:val="none" w:sz="0" w:space="0" w:color="auto"/>
                <w:bottom w:val="none" w:sz="0" w:space="0" w:color="auto"/>
                <w:right w:val="none" w:sz="0" w:space="0" w:color="auto"/>
              </w:divBdr>
              <w:divsChild>
                <w:div w:id="764228433">
                  <w:marLeft w:val="0"/>
                  <w:marRight w:val="0"/>
                  <w:marTop w:val="0"/>
                  <w:marBottom w:val="0"/>
                  <w:divBdr>
                    <w:top w:val="none" w:sz="0" w:space="0" w:color="auto"/>
                    <w:left w:val="none" w:sz="0" w:space="0" w:color="auto"/>
                    <w:bottom w:val="none" w:sz="0" w:space="0" w:color="auto"/>
                    <w:right w:val="none" w:sz="0" w:space="0" w:color="auto"/>
                  </w:divBdr>
                  <w:divsChild>
                    <w:div w:id="957220061">
                      <w:marLeft w:val="0"/>
                      <w:marRight w:val="0"/>
                      <w:marTop w:val="0"/>
                      <w:marBottom w:val="0"/>
                      <w:divBdr>
                        <w:top w:val="none" w:sz="0" w:space="0" w:color="auto"/>
                        <w:left w:val="none" w:sz="0" w:space="0" w:color="auto"/>
                        <w:bottom w:val="none" w:sz="0" w:space="0" w:color="auto"/>
                        <w:right w:val="none" w:sz="0" w:space="0" w:color="auto"/>
                      </w:divBdr>
                      <w:divsChild>
                        <w:div w:id="568459475">
                          <w:marLeft w:val="0"/>
                          <w:marRight w:val="0"/>
                          <w:marTop w:val="0"/>
                          <w:marBottom w:val="0"/>
                          <w:divBdr>
                            <w:top w:val="none" w:sz="0" w:space="0" w:color="auto"/>
                            <w:left w:val="none" w:sz="0" w:space="0" w:color="auto"/>
                            <w:bottom w:val="none" w:sz="0" w:space="0" w:color="auto"/>
                            <w:right w:val="none" w:sz="0" w:space="0" w:color="auto"/>
                          </w:divBdr>
                          <w:divsChild>
                            <w:div w:id="1964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309">
      <w:bodyDiv w:val="1"/>
      <w:marLeft w:val="0"/>
      <w:marRight w:val="0"/>
      <w:marTop w:val="0"/>
      <w:marBottom w:val="0"/>
      <w:divBdr>
        <w:top w:val="none" w:sz="0" w:space="0" w:color="auto"/>
        <w:left w:val="none" w:sz="0" w:space="0" w:color="auto"/>
        <w:bottom w:val="none" w:sz="0" w:space="0" w:color="auto"/>
        <w:right w:val="none" w:sz="0" w:space="0" w:color="auto"/>
      </w:divBdr>
    </w:div>
    <w:div w:id="2062633777">
      <w:bodyDiv w:val="1"/>
      <w:marLeft w:val="0"/>
      <w:marRight w:val="0"/>
      <w:marTop w:val="0"/>
      <w:marBottom w:val="0"/>
      <w:divBdr>
        <w:top w:val="none" w:sz="0" w:space="0" w:color="auto"/>
        <w:left w:val="none" w:sz="0" w:space="0" w:color="auto"/>
        <w:bottom w:val="none" w:sz="0" w:space="0" w:color="auto"/>
        <w:right w:val="none" w:sz="0" w:space="0" w:color="auto"/>
      </w:divBdr>
    </w:div>
    <w:div w:id="2065909447">
      <w:bodyDiv w:val="1"/>
      <w:marLeft w:val="0"/>
      <w:marRight w:val="0"/>
      <w:marTop w:val="0"/>
      <w:marBottom w:val="0"/>
      <w:divBdr>
        <w:top w:val="none" w:sz="0" w:space="0" w:color="auto"/>
        <w:left w:val="none" w:sz="0" w:space="0" w:color="auto"/>
        <w:bottom w:val="none" w:sz="0" w:space="0" w:color="auto"/>
        <w:right w:val="none" w:sz="0" w:space="0" w:color="auto"/>
      </w:divBdr>
    </w:div>
    <w:div w:id="2088533630">
      <w:bodyDiv w:val="1"/>
      <w:marLeft w:val="0"/>
      <w:marRight w:val="0"/>
      <w:marTop w:val="0"/>
      <w:marBottom w:val="0"/>
      <w:divBdr>
        <w:top w:val="none" w:sz="0" w:space="0" w:color="auto"/>
        <w:left w:val="none" w:sz="0" w:space="0" w:color="auto"/>
        <w:bottom w:val="none" w:sz="0" w:space="0" w:color="auto"/>
        <w:right w:val="none" w:sz="0" w:space="0" w:color="auto"/>
      </w:divBdr>
      <w:divsChild>
        <w:div w:id="511846182">
          <w:marLeft w:val="0"/>
          <w:marRight w:val="0"/>
          <w:marTop w:val="0"/>
          <w:marBottom w:val="0"/>
          <w:divBdr>
            <w:top w:val="none" w:sz="0" w:space="0" w:color="auto"/>
            <w:left w:val="none" w:sz="0" w:space="0" w:color="auto"/>
            <w:bottom w:val="none" w:sz="0" w:space="0" w:color="auto"/>
            <w:right w:val="none" w:sz="0" w:space="0" w:color="auto"/>
          </w:divBdr>
          <w:divsChild>
            <w:div w:id="1847742747">
              <w:marLeft w:val="0"/>
              <w:marRight w:val="0"/>
              <w:marTop w:val="0"/>
              <w:marBottom w:val="0"/>
              <w:divBdr>
                <w:top w:val="none" w:sz="0" w:space="0" w:color="auto"/>
                <w:left w:val="none" w:sz="0" w:space="0" w:color="auto"/>
                <w:bottom w:val="none" w:sz="0" w:space="0" w:color="auto"/>
                <w:right w:val="none" w:sz="0" w:space="0" w:color="auto"/>
              </w:divBdr>
              <w:divsChild>
                <w:div w:id="1185747545">
                  <w:marLeft w:val="0"/>
                  <w:marRight w:val="0"/>
                  <w:marTop w:val="0"/>
                  <w:marBottom w:val="300"/>
                  <w:divBdr>
                    <w:top w:val="none" w:sz="0" w:space="0" w:color="auto"/>
                    <w:left w:val="none" w:sz="0" w:space="0" w:color="auto"/>
                    <w:bottom w:val="none" w:sz="0" w:space="0" w:color="auto"/>
                    <w:right w:val="none" w:sz="0" w:space="0" w:color="auto"/>
                  </w:divBdr>
                  <w:divsChild>
                    <w:div w:id="561016635">
                      <w:marLeft w:val="0"/>
                      <w:marRight w:val="0"/>
                      <w:marTop w:val="150"/>
                      <w:marBottom w:val="0"/>
                      <w:divBdr>
                        <w:top w:val="none" w:sz="0" w:space="0" w:color="auto"/>
                        <w:left w:val="none" w:sz="0" w:space="0" w:color="auto"/>
                        <w:bottom w:val="none" w:sz="0" w:space="0" w:color="auto"/>
                        <w:right w:val="none" w:sz="0" w:space="0" w:color="auto"/>
                      </w:divBdr>
                      <w:divsChild>
                        <w:div w:id="932055825">
                          <w:marLeft w:val="0"/>
                          <w:marRight w:val="0"/>
                          <w:marTop w:val="0"/>
                          <w:marBottom w:val="300"/>
                          <w:divBdr>
                            <w:top w:val="none" w:sz="0" w:space="0" w:color="auto"/>
                            <w:left w:val="none" w:sz="0" w:space="0" w:color="auto"/>
                            <w:bottom w:val="none" w:sz="0" w:space="0" w:color="auto"/>
                            <w:right w:val="none" w:sz="0" w:space="0" w:color="auto"/>
                          </w:divBdr>
                          <w:divsChild>
                            <w:div w:id="330254002">
                              <w:marLeft w:val="0"/>
                              <w:marRight w:val="0"/>
                              <w:marTop w:val="0"/>
                              <w:marBottom w:val="0"/>
                              <w:divBdr>
                                <w:top w:val="none" w:sz="0" w:space="0" w:color="auto"/>
                                <w:left w:val="none" w:sz="0" w:space="0" w:color="auto"/>
                                <w:bottom w:val="none" w:sz="0" w:space="0" w:color="auto"/>
                                <w:right w:val="none" w:sz="0" w:space="0" w:color="auto"/>
                              </w:divBdr>
                              <w:divsChild>
                                <w:div w:id="314182754">
                                  <w:marLeft w:val="0"/>
                                  <w:marRight w:val="0"/>
                                  <w:marTop w:val="0"/>
                                  <w:marBottom w:val="0"/>
                                  <w:divBdr>
                                    <w:top w:val="none" w:sz="0" w:space="0" w:color="auto"/>
                                    <w:left w:val="none" w:sz="0" w:space="0" w:color="auto"/>
                                    <w:bottom w:val="none" w:sz="0" w:space="0" w:color="auto"/>
                                    <w:right w:val="none" w:sz="0" w:space="0" w:color="auto"/>
                                  </w:divBdr>
                                </w:div>
                              </w:divsChild>
                            </w:div>
                            <w:div w:id="1840658000">
                              <w:marLeft w:val="0"/>
                              <w:marRight w:val="0"/>
                              <w:marTop w:val="0"/>
                              <w:marBottom w:val="0"/>
                              <w:divBdr>
                                <w:top w:val="none" w:sz="0" w:space="0" w:color="auto"/>
                                <w:left w:val="none" w:sz="0" w:space="0" w:color="auto"/>
                                <w:bottom w:val="none" w:sz="0" w:space="0" w:color="auto"/>
                                <w:right w:val="none" w:sz="0" w:space="0" w:color="auto"/>
                              </w:divBdr>
                            </w:div>
                            <w:div w:id="2022273889">
                              <w:marLeft w:val="0"/>
                              <w:marRight w:val="0"/>
                              <w:marTop w:val="0"/>
                              <w:marBottom w:val="0"/>
                              <w:divBdr>
                                <w:top w:val="none" w:sz="0" w:space="0" w:color="auto"/>
                                <w:left w:val="none" w:sz="0" w:space="0" w:color="auto"/>
                                <w:bottom w:val="none" w:sz="0" w:space="0" w:color="auto"/>
                                <w:right w:val="none" w:sz="0" w:space="0" w:color="auto"/>
                              </w:divBdr>
                            </w:div>
                          </w:divsChild>
                        </w:div>
                        <w:div w:id="1252471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8875">
      <w:bodyDiv w:val="1"/>
      <w:marLeft w:val="0"/>
      <w:marRight w:val="0"/>
      <w:marTop w:val="0"/>
      <w:marBottom w:val="0"/>
      <w:divBdr>
        <w:top w:val="none" w:sz="0" w:space="0" w:color="auto"/>
        <w:left w:val="none" w:sz="0" w:space="0" w:color="auto"/>
        <w:bottom w:val="none" w:sz="0" w:space="0" w:color="auto"/>
        <w:right w:val="none" w:sz="0" w:space="0" w:color="auto"/>
      </w:divBdr>
    </w:div>
    <w:div w:id="2103992298">
      <w:bodyDiv w:val="1"/>
      <w:marLeft w:val="0"/>
      <w:marRight w:val="0"/>
      <w:marTop w:val="0"/>
      <w:marBottom w:val="0"/>
      <w:divBdr>
        <w:top w:val="none" w:sz="0" w:space="0" w:color="auto"/>
        <w:left w:val="none" w:sz="0" w:space="0" w:color="auto"/>
        <w:bottom w:val="none" w:sz="0" w:space="0" w:color="auto"/>
        <w:right w:val="none" w:sz="0" w:space="0" w:color="auto"/>
      </w:divBdr>
    </w:div>
    <w:div w:id="2119370273">
      <w:bodyDiv w:val="1"/>
      <w:marLeft w:val="0"/>
      <w:marRight w:val="0"/>
      <w:marTop w:val="0"/>
      <w:marBottom w:val="0"/>
      <w:divBdr>
        <w:top w:val="none" w:sz="0" w:space="0" w:color="auto"/>
        <w:left w:val="none" w:sz="0" w:space="0" w:color="auto"/>
        <w:bottom w:val="none" w:sz="0" w:space="0" w:color="auto"/>
        <w:right w:val="none" w:sz="0" w:space="0" w:color="auto"/>
      </w:divBdr>
    </w:div>
    <w:div w:id="2131708319">
      <w:bodyDiv w:val="1"/>
      <w:marLeft w:val="0"/>
      <w:marRight w:val="0"/>
      <w:marTop w:val="0"/>
      <w:marBottom w:val="0"/>
      <w:divBdr>
        <w:top w:val="none" w:sz="0" w:space="0" w:color="auto"/>
        <w:left w:val="none" w:sz="0" w:space="0" w:color="auto"/>
        <w:bottom w:val="none" w:sz="0" w:space="0" w:color="auto"/>
        <w:right w:val="none" w:sz="0" w:space="0" w:color="auto"/>
      </w:divBdr>
    </w:div>
    <w:div w:id="2137024079">
      <w:bodyDiv w:val="1"/>
      <w:marLeft w:val="0"/>
      <w:marRight w:val="0"/>
      <w:marTop w:val="0"/>
      <w:marBottom w:val="0"/>
      <w:divBdr>
        <w:top w:val="none" w:sz="0" w:space="0" w:color="auto"/>
        <w:left w:val="none" w:sz="0" w:space="0" w:color="auto"/>
        <w:bottom w:val="none" w:sz="0" w:space="0" w:color="auto"/>
        <w:right w:val="none" w:sz="0" w:space="0" w:color="auto"/>
      </w:divBdr>
    </w:div>
    <w:div w:id="21421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7554-C049-4851-8C32-B3CEC9B9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Richard Mabbitt</cp:lastModifiedBy>
  <cp:revision>5</cp:revision>
  <cp:lastPrinted>2019-11-06T14:54:00Z</cp:lastPrinted>
  <dcterms:created xsi:type="dcterms:W3CDTF">2020-01-20T10:01:00Z</dcterms:created>
  <dcterms:modified xsi:type="dcterms:W3CDTF">2020-01-20T10:09:00Z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-1470931392</vt:i4>
  </property>
</Properties>
</file>