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CF" w:rsidRPr="00302174" w:rsidRDefault="00302174" w:rsidP="00EC74CF">
      <w:pPr>
        <w:pStyle w:val="Title-chapterorange"/>
        <w:spacing w:before="1920" w:after="1080"/>
        <w:rPr>
          <w:sz w:val="72"/>
          <w:szCs w:val="72"/>
        </w:rPr>
      </w:pPr>
      <w:bookmarkStart w:id="0" w:name="_Toc456104404"/>
      <w:bookmarkStart w:id="1" w:name="_Toc456104782"/>
      <w:r w:rsidRPr="00302174">
        <w:t>Hawliau dynol a’r lluoedd arfog</w:t>
      </w:r>
      <w:bookmarkEnd w:id="0"/>
      <w:bookmarkEnd w:id="1"/>
    </w:p>
    <w:p w:rsidR="00EC74CF" w:rsidRPr="00EC74CF" w:rsidRDefault="00EC74CF" w:rsidP="00EC74CF">
      <w:pPr>
        <w:spacing w:after="0"/>
        <w:rPr>
          <w:rFonts w:ascii="Georgia" w:hAnsi="Georgia"/>
          <w:b/>
          <w:sz w:val="48"/>
          <w:szCs w:val="48"/>
        </w:rPr>
      </w:pPr>
      <w:r w:rsidRPr="00EC74CF">
        <w:rPr>
          <w:rFonts w:ascii="Georgia" w:hAnsi="Georgia" w:cs="Arial"/>
          <w:sz w:val="48"/>
          <w:szCs w:val="48"/>
        </w:rPr>
        <w:t>Cyflwyniad dilynol ynghylch Sylwadau Terfynol a fabwysiadwyd gan y Pwyllgor Hawliau Dynol ar seithfed adroddiad cyfnodol y DU</w:t>
      </w:r>
      <w:r w:rsidRPr="00EC74CF">
        <w:rPr>
          <w:rFonts w:ascii="Georgia" w:hAnsi="Georgia"/>
          <w:b/>
          <w:sz w:val="48"/>
          <w:szCs w:val="48"/>
        </w:rPr>
        <w:br w:type="page"/>
      </w:r>
    </w:p>
    <w:p w:rsidR="00EC74CF" w:rsidRDefault="00EC74CF">
      <w:pPr>
        <w:spacing w:after="0"/>
        <w:rPr>
          <w:b/>
        </w:rPr>
      </w:pPr>
    </w:p>
    <w:p w:rsidR="0045013D" w:rsidRPr="0045013D" w:rsidRDefault="000F24EC" w:rsidP="000055CD">
      <w:pPr>
        <w:spacing w:after="120" w:line="312" w:lineRule="auto"/>
        <w:rPr>
          <w:b/>
          <w:sz w:val="24"/>
          <w:szCs w:val="24"/>
        </w:rPr>
      </w:pPr>
      <w:r>
        <w:rPr>
          <w:b/>
          <w:sz w:val="24"/>
          <w:szCs w:val="24"/>
        </w:rPr>
        <w:t xml:space="preserve">Swyddogaeth y Comisiwn Cydraddoldeb a Hawliau Dynol </w:t>
      </w:r>
      <w:r w:rsidR="0045013D" w:rsidRPr="0045013D">
        <w:rPr>
          <w:b/>
          <w:sz w:val="24"/>
          <w:szCs w:val="24"/>
        </w:rPr>
        <w:t>a</w:t>
      </w:r>
      <w:r>
        <w:rPr>
          <w:b/>
          <w:sz w:val="24"/>
          <w:szCs w:val="24"/>
        </w:rPr>
        <w:t xml:space="preserve"> </w:t>
      </w:r>
      <w:r w:rsidR="00FD5B55">
        <w:rPr>
          <w:b/>
          <w:sz w:val="24"/>
          <w:szCs w:val="24"/>
        </w:rPr>
        <w:t>chwmpas</w:t>
      </w:r>
      <w:r>
        <w:rPr>
          <w:b/>
          <w:sz w:val="24"/>
          <w:szCs w:val="24"/>
        </w:rPr>
        <w:t xml:space="preserve"> y</w:t>
      </w:r>
      <w:r w:rsidR="00FD5B55">
        <w:rPr>
          <w:b/>
          <w:sz w:val="24"/>
          <w:szCs w:val="24"/>
        </w:rPr>
        <w:t xml:space="preserve"> cyflwyniad</w:t>
      </w:r>
      <w:r w:rsidR="00856B1C">
        <w:rPr>
          <w:b/>
          <w:sz w:val="24"/>
          <w:szCs w:val="24"/>
        </w:rPr>
        <w:t xml:space="preserve"> </w:t>
      </w:r>
      <w:r>
        <w:rPr>
          <w:b/>
          <w:sz w:val="24"/>
          <w:szCs w:val="24"/>
        </w:rPr>
        <w:t>hwn</w:t>
      </w:r>
    </w:p>
    <w:p w:rsidR="00E41FD4" w:rsidRPr="00E41FD4" w:rsidRDefault="000F24EC" w:rsidP="000055CD">
      <w:pPr>
        <w:pStyle w:val="ListParagraph"/>
        <w:numPr>
          <w:ilvl w:val="0"/>
          <w:numId w:val="10"/>
        </w:numPr>
        <w:spacing w:after="120" w:line="312" w:lineRule="auto"/>
        <w:rPr>
          <w:rFonts w:cs="Arial"/>
          <w:sz w:val="24"/>
          <w:szCs w:val="24"/>
        </w:rPr>
      </w:pPr>
      <w:r>
        <w:rPr>
          <w:spacing w:val="-1"/>
          <w:sz w:val="24"/>
          <w:szCs w:val="24"/>
        </w:rPr>
        <w:t>Y</w:t>
      </w:r>
      <w:r w:rsidR="0045013D" w:rsidRPr="0045013D">
        <w:rPr>
          <w:spacing w:val="-1"/>
          <w:sz w:val="24"/>
          <w:szCs w:val="24"/>
        </w:rPr>
        <w:t xml:space="preserve"> </w:t>
      </w:r>
      <w:r>
        <w:rPr>
          <w:spacing w:val="-1"/>
          <w:sz w:val="24"/>
          <w:szCs w:val="24"/>
        </w:rPr>
        <w:t xml:space="preserve">Comisiwn Cydraddoldeb a Hawliau Dynol </w:t>
      </w:r>
      <w:r w:rsidR="0045013D" w:rsidRPr="0045013D">
        <w:rPr>
          <w:spacing w:val="-1"/>
          <w:sz w:val="24"/>
          <w:szCs w:val="24"/>
        </w:rPr>
        <w:t xml:space="preserve">(EHRC) </w:t>
      </w:r>
      <w:r>
        <w:rPr>
          <w:spacing w:val="-1"/>
          <w:sz w:val="24"/>
          <w:szCs w:val="24"/>
        </w:rPr>
        <w:t xml:space="preserve">yw un o’r tri Sefydliad </w:t>
      </w:r>
      <w:r w:rsidR="006B69C1">
        <w:rPr>
          <w:spacing w:val="-1"/>
          <w:sz w:val="24"/>
          <w:szCs w:val="24"/>
        </w:rPr>
        <w:t>Hawliau Dynol Cenedlaethol (</w:t>
      </w:r>
      <w:r w:rsidR="006B69C1" w:rsidRPr="0045013D">
        <w:rPr>
          <w:spacing w:val="-1"/>
          <w:sz w:val="24"/>
          <w:szCs w:val="24"/>
        </w:rPr>
        <w:t>NHRI</w:t>
      </w:r>
      <w:r w:rsidR="006B69C1">
        <w:rPr>
          <w:spacing w:val="-1"/>
          <w:sz w:val="24"/>
          <w:szCs w:val="24"/>
        </w:rPr>
        <w:t>) gyda statws</w:t>
      </w:r>
      <w:r w:rsidR="00856B1C">
        <w:rPr>
          <w:spacing w:val="-1"/>
          <w:sz w:val="24"/>
          <w:szCs w:val="24"/>
        </w:rPr>
        <w:t xml:space="preserve"> achred</w:t>
      </w:r>
      <w:r w:rsidR="00FD5B55">
        <w:rPr>
          <w:spacing w:val="-1"/>
          <w:sz w:val="24"/>
          <w:szCs w:val="24"/>
        </w:rPr>
        <w:t>ed</w:t>
      </w:r>
      <w:r w:rsidR="00856B1C">
        <w:rPr>
          <w:spacing w:val="-1"/>
          <w:sz w:val="24"/>
          <w:szCs w:val="24"/>
        </w:rPr>
        <w:t xml:space="preserve">ig </w:t>
      </w:r>
      <w:r w:rsidR="006B69C1">
        <w:rPr>
          <w:spacing w:val="-1"/>
          <w:sz w:val="24"/>
          <w:szCs w:val="24"/>
        </w:rPr>
        <w:t xml:space="preserve">‘A’  yn y </w:t>
      </w:r>
      <w:r w:rsidR="00282099">
        <w:rPr>
          <w:spacing w:val="-1"/>
          <w:sz w:val="24"/>
          <w:szCs w:val="24"/>
        </w:rPr>
        <w:t>Deyrnas</w:t>
      </w:r>
      <w:r w:rsidR="006B69C1">
        <w:rPr>
          <w:spacing w:val="-1"/>
          <w:sz w:val="24"/>
          <w:szCs w:val="24"/>
        </w:rPr>
        <w:t xml:space="preserve"> Unedig (DU) </w:t>
      </w:r>
      <w:r w:rsidR="000A6819">
        <w:rPr>
          <w:spacing w:val="-1"/>
          <w:sz w:val="24"/>
          <w:szCs w:val="24"/>
        </w:rPr>
        <w:t xml:space="preserve">Mae </w:t>
      </w:r>
      <w:r w:rsidR="00282099">
        <w:rPr>
          <w:spacing w:val="-1"/>
          <w:sz w:val="24"/>
          <w:szCs w:val="24"/>
        </w:rPr>
        <w:t xml:space="preserve">awdurdodaeth </w:t>
      </w:r>
      <w:r w:rsidR="000A6819">
        <w:rPr>
          <w:spacing w:val="-1"/>
          <w:sz w:val="24"/>
          <w:szCs w:val="24"/>
        </w:rPr>
        <w:t xml:space="preserve">yr </w:t>
      </w:r>
      <w:r w:rsidR="00856B1C">
        <w:rPr>
          <w:spacing w:val="-1"/>
          <w:sz w:val="24"/>
          <w:szCs w:val="24"/>
        </w:rPr>
        <w:t xml:space="preserve">EHRC </w:t>
      </w:r>
      <w:r w:rsidR="000A6819">
        <w:rPr>
          <w:spacing w:val="-1"/>
          <w:sz w:val="24"/>
          <w:szCs w:val="24"/>
        </w:rPr>
        <w:t>yn cwmpasu Cymru, Lloegr a’r Alban hefyd mewn perthynas â chydraddoldeb</w:t>
      </w:r>
      <w:r w:rsidR="0045013D" w:rsidRPr="0045013D">
        <w:rPr>
          <w:spacing w:val="-1"/>
          <w:sz w:val="24"/>
          <w:szCs w:val="24"/>
        </w:rPr>
        <w:t xml:space="preserve">, </w:t>
      </w:r>
      <w:r w:rsidR="000A6819">
        <w:rPr>
          <w:spacing w:val="-1"/>
          <w:sz w:val="24"/>
          <w:szCs w:val="24"/>
        </w:rPr>
        <w:t xml:space="preserve">a’r materion </w:t>
      </w:r>
      <w:r w:rsidR="00D33C37">
        <w:rPr>
          <w:spacing w:val="-1"/>
          <w:sz w:val="24"/>
          <w:szCs w:val="24"/>
        </w:rPr>
        <w:t xml:space="preserve">hawliau dynol </w:t>
      </w:r>
      <w:r w:rsidR="000A6819">
        <w:rPr>
          <w:spacing w:val="-1"/>
          <w:sz w:val="24"/>
          <w:szCs w:val="24"/>
        </w:rPr>
        <w:t xml:space="preserve">hynny sydd y tu allan i  gymhwysedd deddfwriaethol Senedd yr Alban. Nid yw cylch gorchwyl yr </w:t>
      </w:r>
      <w:r w:rsidR="00E41FD4" w:rsidRPr="0045013D">
        <w:rPr>
          <w:spacing w:val="-1"/>
          <w:sz w:val="24"/>
          <w:szCs w:val="24"/>
        </w:rPr>
        <w:t>EHRC</w:t>
      </w:r>
      <w:r w:rsidR="000A6819">
        <w:rPr>
          <w:spacing w:val="-1"/>
          <w:sz w:val="24"/>
          <w:szCs w:val="24"/>
        </w:rPr>
        <w:t xml:space="preserve"> yn ymestyn i Ogledd Iwerddon, sydd o’r herwydd </w:t>
      </w:r>
      <w:r w:rsidR="00CB4C95">
        <w:rPr>
          <w:spacing w:val="-1"/>
          <w:sz w:val="24"/>
          <w:szCs w:val="24"/>
        </w:rPr>
        <w:t>y</w:t>
      </w:r>
      <w:r w:rsidR="000A6819">
        <w:rPr>
          <w:spacing w:val="-1"/>
          <w:sz w:val="24"/>
          <w:szCs w:val="24"/>
        </w:rPr>
        <w:t xml:space="preserve"> tu allan i </w:t>
      </w:r>
      <w:r w:rsidR="00FD5B55">
        <w:rPr>
          <w:spacing w:val="-1"/>
          <w:sz w:val="24"/>
          <w:szCs w:val="24"/>
        </w:rPr>
        <w:t>gwmpas</w:t>
      </w:r>
      <w:r w:rsidR="000A6819">
        <w:rPr>
          <w:spacing w:val="-1"/>
          <w:sz w:val="24"/>
          <w:szCs w:val="24"/>
        </w:rPr>
        <w:t xml:space="preserve"> yr adroddiad hw</w:t>
      </w:r>
      <w:r w:rsidR="00CB4C95">
        <w:rPr>
          <w:spacing w:val="-1"/>
          <w:sz w:val="24"/>
          <w:szCs w:val="24"/>
        </w:rPr>
        <w:t xml:space="preserve">n, </w:t>
      </w:r>
      <w:r w:rsidR="00163A65">
        <w:rPr>
          <w:spacing w:val="-1"/>
          <w:sz w:val="24"/>
          <w:szCs w:val="24"/>
        </w:rPr>
        <w:t xml:space="preserve"> a</w:t>
      </w:r>
      <w:r w:rsidR="00CB4C95">
        <w:rPr>
          <w:spacing w:val="-1"/>
          <w:sz w:val="24"/>
          <w:szCs w:val="24"/>
        </w:rPr>
        <w:t xml:space="preserve">c mae’r </w:t>
      </w:r>
      <w:r w:rsidR="00163A65">
        <w:rPr>
          <w:spacing w:val="-1"/>
          <w:sz w:val="24"/>
          <w:szCs w:val="24"/>
        </w:rPr>
        <w:t xml:space="preserve">SHRC </w:t>
      </w:r>
      <w:r w:rsidR="00CB4C95">
        <w:rPr>
          <w:spacing w:val="-1"/>
          <w:sz w:val="24"/>
          <w:szCs w:val="24"/>
        </w:rPr>
        <w:t>o’r farn bod yr adroddiad hwn y tu allan i ffiniau eu mandad</w:t>
      </w:r>
      <w:r w:rsidR="00E41FD4" w:rsidRPr="00E41FD4">
        <w:rPr>
          <w:spacing w:val="-1"/>
          <w:sz w:val="24"/>
          <w:szCs w:val="24"/>
        </w:rPr>
        <w:t>.</w:t>
      </w:r>
    </w:p>
    <w:p w:rsidR="00C867C5" w:rsidRPr="00775698" w:rsidRDefault="00D33C37" w:rsidP="000055CD">
      <w:pPr>
        <w:pStyle w:val="Parabeforeanother"/>
        <w:numPr>
          <w:ilvl w:val="0"/>
          <w:numId w:val="10"/>
        </w:numPr>
        <w:spacing w:after="120"/>
      </w:pPr>
      <w:r>
        <w:rPr>
          <w:color w:val="000000"/>
          <w:lang w:eastAsia="en-GB"/>
        </w:rPr>
        <w:t>Bwriad y</w:t>
      </w:r>
      <w:r w:rsidR="00FD5B55">
        <w:rPr>
          <w:color w:val="000000"/>
          <w:lang w:eastAsia="en-GB"/>
        </w:rPr>
        <w:t xml:space="preserve"> cyflwyniad</w:t>
      </w:r>
      <w:r w:rsidR="00856B1C">
        <w:t xml:space="preserve"> hwn</w:t>
      </w:r>
      <w:r>
        <w:t xml:space="preserve"> yw </w:t>
      </w:r>
      <w:r w:rsidR="00E84A6F">
        <w:t xml:space="preserve">hysbysu Pwyllgor </w:t>
      </w:r>
      <w:r w:rsidR="00E84A6F">
        <w:rPr>
          <w:color w:val="000000"/>
          <w:lang w:eastAsia="en-GB"/>
        </w:rPr>
        <w:t>Hawliau D</w:t>
      </w:r>
      <w:r>
        <w:rPr>
          <w:color w:val="000000"/>
          <w:lang w:eastAsia="en-GB"/>
        </w:rPr>
        <w:t xml:space="preserve">ynol </w:t>
      </w:r>
      <w:r w:rsidR="00E84A6F">
        <w:rPr>
          <w:color w:val="000000"/>
          <w:lang w:eastAsia="en-GB"/>
        </w:rPr>
        <w:t xml:space="preserve">y Cenhedloedd Unedig </w:t>
      </w:r>
      <w:r w:rsidR="005E32B9">
        <w:rPr>
          <w:color w:val="000000"/>
          <w:lang w:eastAsia="en-GB"/>
        </w:rPr>
        <w:t xml:space="preserve">(Y Pwyllgor) </w:t>
      </w:r>
      <w:r w:rsidR="00CB4C95">
        <w:rPr>
          <w:color w:val="000000"/>
          <w:lang w:eastAsia="en-GB"/>
        </w:rPr>
        <w:t xml:space="preserve">o asesiad </w:t>
      </w:r>
      <w:r w:rsidR="00856B1C">
        <w:rPr>
          <w:color w:val="000000"/>
          <w:lang w:eastAsia="en-GB"/>
        </w:rPr>
        <w:t xml:space="preserve">yr EHRC o gynnydd </w:t>
      </w:r>
      <w:r w:rsidR="00CB4C95">
        <w:rPr>
          <w:color w:val="000000"/>
          <w:lang w:eastAsia="en-GB"/>
        </w:rPr>
        <w:t xml:space="preserve">Llywodraeth y DU wrth </w:t>
      </w:r>
      <w:r w:rsidR="00856B1C">
        <w:rPr>
          <w:color w:val="000000"/>
          <w:lang w:eastAsia="en-GB"/>
        </w:rPr>
        <w:t xml:space="preserve">fynd i’r afael â </w:t>
      </w:r>
      <w:r w:rsidR="005E32B9">
        <w:rPr>
          <w:color w:val="000000"/>
          <w:lang w:eastAsia="en-GB"/>
        </w:rPr>
        <w:t xml:space="preserve">sylwadau terfynol </w:t>
      </w:r>
      <w:r w:rsidR="00E84A6F">
        <w:rPr>
          <w:color w:val="000000"/>
          <w:lang w:eastAsia="en-GB"/>
        </w:rPr>
        <w:t>Pwyllgor</w:t>
      </w:r>
      <w:r w:rsidR="00F548C0">
        <w:rPr>
          <w:color w:val="000000"/>
          <w:lang w:eastAsia="en-GB"/>
        </w:rPr>
        <w:t xml:space="preserve"> </w:t>
      </w:r>
      <w:r w:rsidR="005E32B9">
        <w:rPr>
          <w:color w:val="000000"/>
          <w:lang w:eastAsia="en-GB"/>
        </w:rPr>
        <w:t xml:space="preserve">2015 ar atebolrwydd y DU parthed ymyriadau lluoedd arfog Prydeinig â </w:t>
      </w:r>
      <w:r w:rsidR="00732E02" w:rsidRPr="00775698">
        <w:rPr>
          <w:color w:val="000000"/>
          <w:lang w:eastAsia="en-GB"/>
        </w:rPr>
        <w:t xml:space="preserve"> </w:t>
      </w:r>
      <w:r>
        <w:rPr>
          <w:color w:val="000000"/>
          <w:lang w:eastAsia="en-GB"/>
        </w:rPr>
        <w:t xml:space="preserve">hawliau dynol </w:t>
      </w:r>
      <w:r w:rsidR="005E32B9">
        <w:rPr>
          <w:color w:val="000000"/>
          <w:lang w:eastAsia="en-GB"/>
        </w:rPr>
        <w:t>t</w:t>
      </w:r>
      <w:r>
        <w:rPr>
          <w:color w:val="000000"/>
          <w:lang w:eastAsia="en-GB"/>
        </w:rPr>
        <w:t>ramor</w:t>
      </w:r>
      <w:r w:rsidR="00732E02" w:rsidRPr="00775698">
        <w:rPr>
          <w:color w:val="000000"/>
          <w:lang w:eastAsia="en-GB"/>
        </w:rPr>
        <w:t xml:space="preserve"> </w:t>
      </w:r>
      <w:r w:rsidR="00C867C5" w:rsidRPr="00775698">
        <w:rPr>
          <w:color w:val="000000"/>
          <w:lang w:eastAsia="en-GB"/>
        </w:rPr>
        <w:t>(</w:t>
      </w:r>
      <w:r w:rsidR="005E32B9">
        <w:rPr>
          <w:color w:val="000000"/>
          <w:lang w:eastAsia="en-GB"/>
        </w:rPr>
        <w:t>paragraff</w:t>
      </w:r>
      <w:r w:rsidR="00732E02" w:rsidRPr="00775698">
        <w:rPr>
          <w:color w:val="000000"/>
          <w:lang w:eastAsia="en-GB"/>
        </w:rPr>
        <w:t xml:space="preserve"> 9</w:t>
      </w:r>
      <w:r w:rsidR="00C867C5" w:rsidRPr="00775698">
        <w:rPr>
          <w:color w:val="000000"/>
          <w:lang w:eastAsia="en-GB"/>
        </w:rPr>
        <w:t>).</w:t>
      </w:r>
      <w:r w:rsidR="00732E02">
        <w:rPr>
          <w:rStyle w:val="FootnoteReference"/>
          <w:color w:val="000000"/>
          <w:lang w:eastAsia="en-GB"/>
        </w:rPr>
        <w:footnoteReference w:id="1"/>
      </w:r>
    </w:p>
    <w:p w:rsidR="00C867C5" w:rsidRPr="00237BC3" w:rsidRDefault="005E32B9" w:rsidP="000055CD">
      <w:pPr>
        <w:pStyle w:val="Parabeforeanother"/>
        <w:numPr>
          <w:ilvl w:val="0"/>
          <w:numId w:val="10"/>
        </w:numPr>
        <w:spacing w:after="120"/>
      </w:pPr>
      <w:r>
        <w:rPr>
          <w:color w:val="000000"/>
          <w:lang w:eastAsia="en-GB"/>
        </w:rPr>
        <w:t>Mae’r</w:t>
      </w:r>
      <w:r w:rsidR="00C867C5" w:rsidRPr="00237BC3">
        <w:rPr>
          <w:color w:val="000000"/>
          <w:lang w:eastAsia="en-GB"/>
        </w:rPr>
        <w:t xml:space="preserve"> </w:t>
      </w:r>
      <w:r w:rsidR="00FD5B55">
        <w:rPr>
          <w:color w:val="000000"/>
          <w:lang w:eastAsia="en-GB"/>
        </w:rPr>
        <w:t>cyflwyniad</w:t>
      </w:r>
      <w:r w:rsidR="00D33C37">
        <w:t xml:space="preserve"> </w:t>
      </w:r>
      <w:r w:rsidR="00856B1C">
        <w:t xml:space="preserve">hwn </w:t>
      </w:r>
      <w:r>
        <w:t>yn canolbwyntio ar</w:t>
      </w:r>
      <w:r w:rsidR="00282099">
        <w:t>:</w:t>
      </w:r>
      <w:r w:rsidR="00C867C5" w:rsidRPr="00237BC3">
        <w:rPr>
          <w:color w:val="000000"/>
          <w:lang w:eastAsia="en-GB"/>
        </w:rPr>
        <w:t xml:space="preserve"> </w:t>
      </w:r>
    </w:p>
    <w:p w:rsidR="00237BC3" w:rsidRDefault="00B943F1" w:rsidP="000055CD">
      <w:pPr>
        <w:pStyle w:val="ListParagraph"/>
        <w:numPr>
          <w:ilvl w:val="0"/>
          <w:numId w:val="11"/>
        </w:numPr>
        <w:spacing w:after="120" w:line="312" w:lineRule="auto"/>
        <w:rPr>
          <w:rFonts w:cs="Arial"/>
          <w:sz w:val="24"/>
          <w:szCs w:val="24"/>
        </w:rPr>
      </w:pPr>
      <w:r>
        <w:rPr>
          <w:rFonts w:cs="Arial"/>
          <w:sz w:val="24"/>
          <w:szCs w:val="24"/>
        </w:rPr>
        <w:t xml:space="preserve">addaster y </w:t>
      </w:r>
      <w:r w:rsidR="00D91470">
        <w:rPr>
          <w:rFonts w:cs="Arial"/>
          <w:sz w:val="24"/>
          <w:szCs w:val="24"/>
        </w:rPr>
        <w:t xml:space="preserve">Cyfamod </w:t>
      </w:r>
      <w:r>
        <w:rPr>
          <w:rFonts w:cs="Arial"/>
          <w:sz w:val="24"/>
          <w:szCs w:val="24"/>
        </w:rPr>
        <w:t xml:space="preserve">a’r fframwaith </w:t>
      </w:r>
      <w:r w:rsidR="00D33C37">
        <w:rPr>
          <w:rFonts w:cs="Arial"/>
          <w:sz w:val="24"/>
          <w:szCs w:val="24"/>
        </w:rPr>
        <w:t xml:space="preserve">hawliau dynol </w:t>
      </w:r>
      <w:r>
        <w:rPr>
          <w:rFonts w:cs="Arial"/>
          <w:sz w:val="24"/>
          <w:szCs w:val="24"/>
        </w:rPr>
        <w:t>domestig</w:t>
      </w:r>
    </w:p>
    <w:p w:rsidR="00827F4C" w:rsidRDefault="00B943F1" w:rsidP="00827F4C">
      <w:pPr>
        <w:pStyle w:val="ListParagraph"/>
        <w:numPr>
          <w:ilvl w:val="0"/>
          <w:numId w:val="11"/>
        </w:numPr>
        <w:spacing w:after="120" w:line="312" w:lineRule="auto"/>
        <w:rPr>
          <w:rFonts w:cs="Arial"/>
          <w:sz w:val="24"/>
          <w:szCs w:val="24"/>
        </w:rPr>
      </w:pPr>
      <w:r>
        <w:rPr>
          <w:rFonts w:cs="Arial"/>
          <w:sz w:val="24"/>
          <w:szCs w:val="24"/>
        </w:rPr>
        <w:t xml:space="preserve">yr </w:t>
      </w:r>
      <w:r w:rsidR="006D029B">
        <w:rPr>
          <w:rFonts w:cs="Arial"/>
          <w:sz w:val="24"/>
          <w:szCs w:val="24"/>
        </w:rPr>
        <w:t>Y</w:t>
      </w:r>
      <w:r>
        <w:rPr>
          <w:rFonts w:cs="Arial"/>
          <w:sz w:val="24"/>
          <w:szCs w:val="24"/>
        </w:rPr>
        <w:t xml:space="preserve">mchwiliad i Garcharorion Tramor </w:t>
      </w:r>
    </w:p>
    <w:p w:rsidR="00827F4C" w:rsidRPr="00827F4C" w:rsidRDefault="006D029B" w:rsidP="00827F4C">
      <w:pPr>
        <w:pStyle w:val="ListParagraph"/>
        <w:numPr>
          <w:ilvl w:val="0"/>
          <w:numId w:val="11"/>
        </w:numPr>
        <w:spacing w:after="120" w:line="312" w:lineRule="auto"/>
        <w:rPr>
          <w:rFonts w:cs="Arial"/>
          <w:sz w:val="24"/>
          <w:szCs w:val="24"/>
        </w:rPr>
      </w:pPr>
      <w:r>
        <w:rPr>
          <w:sz w:val="24"/>
          <w:szCs w:val="24"/>
        </w:rPr>
        <w:t xml:space="preserve">Tîm Honiadau Hanesyddol Irac </w:t>
      </w:r>
    </w:p>
    <w:p w:rsidR="00636810" w:rsidRDefault="00D33C37" w:rsidP="000055CD">
      <w:pPr>
        <w:pStyle w:val="ListParagraph"/>
        <w:numPr>
          <w:ilvl w:val="0"/>
          <w:numId w:val="11"/>
        </w:numPr>
        <w:spacing w:after="120" w:line="312" w:lineRule="auto"/>
        <w:rPr>
          <w:rFonts w:cs="Arial"/>
          <w:sz w:val="24"/>
          <w:szCs w:val="24"/>
        </w:rPr>
      </w:pPr>
      <w:r>
        <w:rPr>
          <w:rFonts w:cs="Arial"/>
          <w:sz w:val="24"/>
          <w:szCs w:val="24"/>
        </w:rPr>
        <w:t xml:space="preserve">Gwersyll </w:t>
      </w:r>
      <w:r w:rsidR="00F548C0">
        <w:rPr>
          <w:rFonts w:cs="Arial"/>
          <w:sz w:val="24"/>
          <w:szCs w:val="24"/>
        </w:rPr>
        <w:t>Nama</w:t>
      </w:r>
    </w:p>
    <w:p w:rsidR="00A63F70" w:rsidRPr="006D029B" w:rsidRDefault="00A63F70" w:rsidP="000055CD">
      <w:pPr>
        <w:pStyle w:val="ListParagraph"/>
        <w:spacing w:after="120" w:line="312" w:lineRule="auto"/>
        <w:ind w:left="1080"/>
        <w:rPr>
          <w:rFonts w:cs="Arial"/>
          <w:b/>
          <w:sz w:val="24"/>
          <w:szCs w:val="24"/>
        </w:rPr>
      </w:pPr>
    </w:p>
    <w:p w:rsidR="006D029B" w:rsidRPr="006D029B" w:rsidRDefault="006D029B" w:rsidP="006D029B">
      <w:pPr>
        <w:spacing w:after="120" w:line="312" w:lineRule="auto"/>
        <w:rPr>
          <w:rFonts w:cs="Arial"/>
          <w:b/>
          <w:sz w:val="24"/>
          <w:szCs w:val="24"/>
        </w:rPr>
      </w:pPr>
      <w:r w:rsidRPr="006D029B">
        <w:rPr>
          <w:rFonts w:cs="Arial"/>
          <w:b/>
          <w:sz w:val="24"/>
          <w:szCs w:val="24"/>
        </w:rPr>
        <w:t xml:space="preserve">Addaster y </w:t>
      </w:r>
      <w:r w:rsidR="00D91470">
        <w:rPr>
          <w:rFonts w:cs="Arial"/>
          <w:b/>
          <w:sz w:val="24"/>
          <w:szCs w:val="24"/>
        </w:rPr>
        <w:t xml:space="preserve">Cyfamod </w:t>
      </w:r>
      <w:r w:rsidRPr="006D029B">
        <w:rPr>
          <w:rFonts w:cs="Arial"/>
          <w:b/>
          <w:sz w:val="24"/>
          <w:szCs w:val="24"/>
        </w:rPr>
        <w:t>a’r fframwaith hawliau dynol domestig</w:t>
      </w:r>
    </w:p>
    <w:p w:rsidR="002D5DC6" w:rsidRPr="00EC190C" w:rsidRDefault="006D029B" w:rsidP="000055CD">
      <w:pPr>
        <w:pStyle w:val="Parabeforeanother"/>
        <w:spacing w:after="120"/>
        <w:rPr>
          <w:i/>
        </w:rPr>
      </w:pPr>
      <w:r>
        <w:rPr>
          <w:i/>
        </w:rPr>
        <w:t>Cynigion i amnewid y Ddeddf Hawliau D</w:t>
      </w:r>
      <w:r w:rsidR="00D33C37">
        <w:rPr>
          <w:i/>
        </w:rPr>
        <w:t xml:space="preserve">ynol </w:t>
      </w:r>
      <w:r>
        <w:rPr>
          <w:i/>
        </w:rPr>
        <w:t xml:space="preserve"> </w:t>
      </w:r>
    </w:p>
    <w:p w:rsidR="002D5DC6" w:rsidRPr="008A1EED" w:rsidRDefault="006D029B" w:rsidP="000055CD">
      <w:pPr>
        <w:pStyle w:val="Parabeforeanother"/>
        <w:numPr>
          <w:ilvl w:val="0"/>
          <w:numId w:val="10"/>
        </w:numPr>
        <w:spacing w:after="120"/>
      </w:pPr>
      <w:r>
        <w:t>Bydd</w:t>
      </w:r>
      <w:r w:rsidR="00E84A6F">
        <w:t xml:space="preserve"> y</w:t>
      </w:r>
      <w:r w:rsidR="002D5DC6">
        <w:t xml:space="preserve"> </w:t>
      </w:r>
      <w:r w:rsidR="00E84A6F">
        <w:t>Pwyllgor</w:t>
      </w:r>
      <w:r w:rsidR="002D5DC6">
        <w:t xml:space="preserve"> </w:t>
      </w:r>
      <w:r>
        <w:t>yn ymwyb</w:t>
      </w:r>
      <w:r w:rsidR="00282099">
        <w:t>o</w:t>
      </w:r>
      <w:r>
        <w:t>dol o’r ffaith mai’r prif fodd o sicrhau’r haw</w:t>
      </w:r>
      <w:r w:rsidR="00606B91">
        <w:t>l</w:t>
      </w:r>
      <w:r>
        <w:t xml:space="preserve">iau a geir yn y </w:t>
      </w:r>
      <w:r w:rsidR="00691ACB">
        <w:t>Cyfamod</w:t>
      </w:r>
      <w:r>
        <w:t xml:space="preserve"> y</w:t>
      </w:r>
      <w:r w:rsidR="00606B91">
        <w:t xml:space="preserve">w Deddf Hawliau Dynol </w:t>
      </w:r>
      <w:r w:rsidR="002D5DC6">
        <w:t xml:space="preserve">1998 (HRA) </w:t>
      </w:r>
      <w:r w:rsidR="00606B91">
        <w:t xml:space="preserve">sydd yn ymgorffori y  Confensiwn </w:t>
      </w:r>
      <w:r w:rsidR="000441EB">
        <w:t xml:space="preserve">Ewropeaidd </w:t>
      </w:r>
      <w:r w:rsidR="00D414EF">
        <w:t xml:space="preserve">ar Hawliau Dynol </w:t>
      </w:r>
      <w:r w:rsidR="000441EB">
        <w:t>i gyfraith d</w:t>
      </w:r>
      <w:r w:rsidR="00E94CF5">
        <w:t>d</w:t>
      </w:r>
      <w:r w:rsidR="000441EB">
        <w:t xml:space="preserve">omestig yn y DU. Ym mis Rhagfyr 2015, roedd Llywodraeth y DU wedi ailadrodd ei benderfyniad i ymgynghori ar y cynnig </w:t>
      </w:r>
      <w:r w:rsidR="002D5DC6">
        <w:t xml:space="preserve"> </w:t>
      </w:r>
      <w:r w:rsidR="00132ED2">
        <w:t>i osod Bil Hawliau Prydeinig yn lle’r HRA.</w:t>
      </w:r>
      <w:r w:rsidR="002D5DC6" w:rsidRPr="009449D2">
        <w:t>.</w:t>
      </w:r>
      <w:r w:rsidR="002D5DC6" w:rsidRPr="009449D2">
        <w:rPr>
          <w:rStyle w:val="FootnoteReference"/>
          <w:bCs/>
          <w:color w:val="000000"/>
        </w:rPr>
        <w:footnoteReference w:id="2"/>
      </w:r>
      <w:r w:rsidR="00132ED2">
        <w:t xml:space="preserve"> </w:t>
      </w:r>
      <w:r w:rsidR="00132ED2">
        <w:lastRenderedPageBreak/>
        <w:t>Cyflwynodd y Prif Weinidog ddiweddari</w:t>
      </w:r>
      <w:r w:rsidR="00282099">
        <w:t>a</w:t>
      </w:r>
      <w:r w:rsidR="00132ED2">
        <w:t xml:space="preserve">d i’r Senedd ym mis Chwefror 2016 yn dweud y byddai Llywodraeth y DU, ymhen byr amser, yn datblygu cynigion ‘i newid safle Prydain mewn perthynas â </w:t>
      </w:r>
      <w:hyperlink r:id="rId8" w:history="1">
        <w:r w:rsidR="00422A87">
          <w:rPr>
            <w:rStyle w:val="Hyperlink"/>
          </w:rPr>
          <w:t>Llys Hawliau Dynol Ewrop</w:t>
        </w:r>
      </w:hyperlink>
      <w:r w:rsidR="00422A87">
        <w:t xml:space="preserve"> </w:t>
      </w:r>
      <w:r w:rsidR="00D33C37">
        <w:t xml:space="preserve"> </w:t>
      </w:r>
      <w:r w:rsidR="00132ED2">
        <w:t>trwy gael ein Bil Hawliau Prydeinig ein hunain’</w:t>
      </w:r>
      <w:r w:rsidR="002D5DC6" w:rsidRPr="009449D2">
        <w:t>.</w:t>
      </w:r>
      <w:r w:rsidR="002D5DC6" w:rsidRPr="009449D2">
        <w:rPr>
          <w:rStyle w:val="FootnoteReference"/>
        </w:rPr>
        <w:footnoteReference w:id="3"/>
      </w:r>
      <w:r w:rsidR="00282099">
        <w:t xml:space="preserve"> Roedd arai</w:t>
      </w:r>
      <w:r w:rsidR="00132ED2">
        <w:t xml:space="preserve">th y Frenhines ym mis Mai </w:t>
      </w:r>
      <w:r w:rsidR="00887033">
        <w:t>2016 wedi ailddatgan y byddai ‘cynigion yn cael eu dw</w:t>
      </w:r>
      <w:r w:rsidR="00E94CF5">
        <w:t xml:space="preserve">yn gerbron ar gyfer Bil Hawliau </w:t>
      </w:r>
      <w:r w:rsidR="00887033">
        <w:t>Prydeinig’</w:t>
      </w:r>
      <w:r w:rsidR="002D5DC6">
        <w:t>.</w:t>
      </w:r>
      <w:r w:rsidR="002D5DC6">
        <w:rPr>
          <w:rStyle w:val="FootnoteReference"/>
        </w:rPr>
        <w:footnoteReference w:id="4"/>
      </w:r>
    </w:p>
    <w:p w:rsidR="002D5DC6" w:rsidRDefault="00282099" w:rsidP="000055CD">
      <w:pPr>
        <w:pStyle w:val="Parabeforeanother"/>
        <w:numPr>
          <w:ilvl w:val="0"/>
          <w:numId w:val="10"/>
        </w:numPr>
        <w:spacing w:after="120"/>
        <w:rPr>
          <w:bCs/>
        </w:rPr>
      </w:pPr>
      <w:r>
        <w:t>Mae saf</w:t>
      </w:r>
      <w:r w:rsidR="00887033">
        <w:t>b</w:t>
      </w:r>
      <w:r>
        <w:t>w</w:t>
      </w:r>
      <w:r w:rsidR="00887033">
        <w:t>ynt yr E</w:t>
      </w:r>
      <w:r w:rsidR="002D5DC6" w:rsidRPr="00282693">
        <w:t>HRC</w:t>
      </w:r>
      <w:r w:rsidR="00887033">
        <w:t xml:space="preserve"> yn parhau i fynnu na ddylai unrhyw newidiadau i’n </w:t>
      </w:r>
      <w:r w:rsidR="002D5DC6">
        <w:t xml:space="preserve"> </w:t>
      </w:r>
      <w:r w:rsidR="00887033">
        <w:t xml:space="preserve">fframwaith hawliau dynol cyfredol </w:t>
      </w:r>
      <w:r>
        <w:t>wanhau’r mecanwei</w:t>
      </w:r>
      <w:r w:rsidR="003B5A3C">
        <w:t xml:space="preserve">thiau amddiffyn a geir yn yr </w:t>
      </w:r>
      <w:r w:rsidR="002D5DC6">
        <w:t xml:space="preserve">HRA. </w:t>
      </w:r>
      <w:r w:rsidR="003B5A3C">
        <w:t>Rydym yn ystyried bod yr HRA wedi ei grefftio’n ofalus</w:t>
      </w:r>
      <w:r>
        <w:t>, yn adlew</w:t>
      </w:r>
      <w:r w:rsidR="002B3885">
        <w:t>y</w:t>
      </w:r>
      <w:r>
        <w:t>r</w:t>
      </w:r>
      <w:r w:rsidR="002B3885">
        <w:t xml:space="preserve">chu ac wedi ei sodro yn y trefniadau cyfansoddiadol ar gyfer y </w:t>
      </w:r>
      <w:r w:rsidR="00132ED2">
        <w:t>DU</w:t>
      </w:r>
      <w:r w:rsidR="002D5DC6" w:rsidRPr="003C4E22">
        <w:t xml:space="preserve">. </w:t>
      </w:r>
      <w:r w:rsidR="002B3885">
        <w:t xml:space="preserve">Byddai newid ein cyfreithiau </w:t>
      </w:r>
      <w:r w:rsidR="002D5DC6" w:rsidRPr="003C4E22">
        <w:t xml:space="preserve"> </w:t>
      </w:r>
      <w:r w:rsidR="00D33C37">
        <w:t xml:space="preserve">hawliau dynol </w:t>
      </w:r>
      <w:r w:rsidR="002B3885">
        <w:t>yn arwain at  ganlyniadau arwyddocaol yn gyfansoddiadaol ac yn gymdeithasol, ac ni ddylid eu hystyried onid fel rhan o broses gyhoeddus ehangach a chyfranogol.</w:t>
      </w:r>
      <w:r w:rsidR="002D5DC6" w:rsidRPr="008A1EED">
        <w:rPr>
          <w:rStyle w:val="FootnoteReference"/>
          <w:color w:val="000000"/>
        </w:rPr>
        <w:footnoteReference w:id="5"/>
      </w:r>
      <w:r w:rsidR="002D5DC6" w:rsidRPr="008A1EED">
        <w:rPr>
          <w:bCs/>
        </w:rPr>
        <w:t xml:space="preserve"> </w:t>
      </w:r>
      <w:r w:rsidR="002B3885">
        <w:rPr>
          <w:bCs/>
        </w:rPr>
        <w:t>Rydym yn croesawu dad</w:t>
      </w:r>
      <w:r w:rsidR="00407EA1">
        <w:rPr>
          <w:bCs/>
        </w:rPr>
        <w:t xml:space="preserve">l </w:t>
      </w:r>
      <w:r w:rsidR="003F708A">
        <w:rPr>
          <w:bCs/>
        </w:rPr>
        <w:t>ar fater</w:t>
      </w:r>
      <w:r w:rsidR="002B3885">
        <w:rPr>
          <w:bCs/>
        </w:rPr>
        <w:t xml:space="preserve"> mor bwysig â hyn ac yn edrych ymlaen at gyfr</w:t>
      </w:r>
      <w:r w:rsidR="00691ACB">
        <w:rPr>
          <w:bCs/>
        </w:rPr>
        <w:t>ann</w:t>
      </w:r>
      <w:r w:rsidR="002B3885">
        <w:rPr>
          <w:bCs/>
        </w:rPr>
        <w:t xml:space="preserve">u i ddatblygiad syniadau, ond ni fyddem yn cefnogi </w:t>
      </w:r>
      <w:r w:rsidR="00F1466E">
        <w:rPr>
          <w:bCs/>
        </w:rPr>
        <w:t>gwrthdroi’r swyddogaeth flaenllaw fyd</w:t>
      </w:r>
      <w:r w:rsidR="00691ACB">
        <w:rPr>
          <w:bCs/>
        </w:rPr>
        <w:t>-</w:t>
      </w:r>
      <w:r w:rsidR="00F1466E">
        <w:rPr>
          <w:bCs/>
        </w:rPr>
        <w:t>eang mae Prydain</w:t>
      </w:r>
      <w:r w:rsidR="00691ACB">
        <w:rPr>
          <w:bCs/>
        </w:rPr>
        <w:t xml:space="preserve"> wedi chwarae ers cyhyd wrth am</w:t>
      </w:r>
      <w:r w:rsidR="00F1466E">
        <w:rPr>
          <w:bCs/>
        </w:rPr>
        <w:t>ddiffyn a hyrwyddo hawl</w:t>
      </w:r>
      <w:r w:rsidR="00D33C37">
        <w:t>iau dynol</w:t>
      </w:r>
      <w:r w:rsidR="002D5DC6" w:rsidRPr="00E3543C">
        <w:t>.</w:t>
      </w:r>
      <w:r w:rsidR="002D5DC6">
        <w:rPr>
          <w:rStyle w:val="FootnoteReference"/>
        </w:rPr>
        <w:footnoteReference w:id="6"/>
      </w:r>
    </w:p>
    <w:p w:rsidR="002D5DC6" w:rsidRPr="00EC190C" w:rsidRDefault="00F1466E" w:rsidP="000055CD">
      <w:pPr>
        <w:pStyle w:val="Parabeforeanother"/>
        <w:numPr>
          <w:ilvl w:val="0"/>
          <w:numId w:val="10"/>
        </w:numPr>
        <w:spacing w:after="120"/>
      </w:pPr>
      <w:r>
        <w:rPr>
          <w:bCs/>
        </w:rPr>
        <w:t xml:space="preserve">Yn </w:t>
      </w:r>
      <w:r w:rsidR="002D5DC6">
        <w:rPr>
          <w:bCs/>
        </w:rPr>
        <w:t xml:space="preserve">2015, </w:t>
      </w:r>
      <w:r>
        <w:rPr>
          <w:bCs/>
        </w:rPr>
        <w:t>roedd y P</w:t>
      </w:r>
      <w:r w:rsidR="00E84A6F">
        <w:t>wyllgor</w:t>
      </w:r>
      <w:r w:rsidR="002D5DC6">
        <w:rPr>
          <w:bCs/>
        </w:rPr>
        <w:t xml:space="preserve"> </w:t>
      </w:r>
      <w:r>
        <w:rPr>
          <w:bCs/>
        </w:rPr>
        <w:t xml:space="preserve">wedi argymell y dylai </w:t>
      </w:r>
      <w:r w:rsidR="00132ED2">
        <w:rPr>
          <w:bCs/>
        </w:rPr>
        <w:t xml:space="preserve">Llywodraeth y DU </w:t>
      </w:r>
      <w:r w:rsidR="002D5DC6">
        <w:rPr>
          <w:bCs/>
        </w:rPr>
        <w:t>‘</w:t>
      </w:r>
      <w:r>
        <w:rPr>
          <w:bCs/>
        </w:rPr>
        <w:t>sicrhau bod unrhyw ddeddfwriaeth a gaiff ei basio yn lle D</w:t>
      </w:r>
      <w:r w:rsidR="00606B91">
        <w:rPr>
          <w:bCs/>
        </w:rPr>
        <w:t xml:space="preserve">eddf Hawliau Dynol </w:t>
      </w:r>
      <w:r w:rsidR="002D5DC6" w:rsidRPr="00AA5320">
        <w:rPr>
          <w:bCs/>
        </w:rPr>
        <w:t xml:space="preserve">1998 </w:t>
      </w:r>
      <w:r w:rsidR="00CD38E2" w:rsidRPr="00A16FD0">
        <w:t>–</w:t>
      </w:r>
      <w:r w:rsidR="002D5DC6" w:rsidRPr="00AA5320">
        <w:rPr>
          <w:bCs/>
        </w:rPr>
        <w:t xml:space="preserve"> </w:t>
      </w:r>
      <w:r>
        <w:rPr>
          <w:bCs/>
        </w:rPr>
        <w:t xml:space="preserve">pe byddai deddfwriaeth o’r math hwn yn cael ei </w:t>
      </w:r>
      <w:r w:rsidR="00422A87">
        <w:rPr>
          <w:bCs/>
        </w:rPr>
        <w:t>ph</w:t>
      </w:r>
      <w:r>
        <w:rPr>
          <w:bCs/>
        </w:rPr>
        <w:t xml:space="preserve">asio </w:t>
      </w:r>
      <w:r w:rsidRPr="00A16FD0">
        <w:t>–</w:t>
      </w:r>
      <w:r w:rsidR="002D5DC6" w:rsidRPr="00AA5320">
        <w:rPr>
          <w:bCs/>
        </w:rPr>
        <w:t xml:space="preserve"> </w:t>
      </w:r>
      <w:r w:rsidR="00485912">
        <w:rPr>
          <w:bCs/>
        </w:rPr>
        <w:t>yn anelu at gryfhau statws r</w:t>
      </w:r>
      <w:r w:rsidR="003F708A">
        <w:rPr>
          <w:bCs/>
        </w:rPr>
        <w:t>h</w:t>
      </w:r>
      <w:r w:rsidR="00485912">
        <w:rPr>
          <w:bCs/>
        </w:rPr>
        <w:t>yngwladol</w:t>
      </w:r>
      <w:r w:rsidR="002D5DC6" w:rsidRPr="00AA5320">
        <w:rPr>
          <w:bCs/>
        </w:rPr>
        <w:t xml:space="preserve"> </w:t>
      </w:r>
      <w:r w:rsidR="00485912">
        <w:rPr>
          <w:bCs/>
        </w:rPr>
        <w:t>hawliau dynol</w:t>
      </w:r>
      <w:r w:rsidR="002D5DC6" w:rsidRPr="00AA5320">
        <w:rPr>
          <w:bCs/>
        </w:rPr>
        <w:t xml:space="preserve">, </w:t>
      </w:r>
      <w:r w:rsidR="00485912">
        <w:rPr>
          <w:bCs/>
        </w:rPr>
        <w:t xml:space="preserve">gan gynnwys yr hyn a geir yn y </w:t>
      </w:r>
      <w:r w:rsidR="00D91470">
        <w:rPr>
          <w:bCs/>
        </w:rPr>
        <w:t>Cyfamod</w:t>
      </w:r>
      <w:r w:rsidR="00485912">
        <w:rPr>
          <w:bCs/>
        </w:rPr>
        <w:t>, yn y drefn gyfreithiol ddomest</w:t>
      </w:r>
      <w:r w:rsidR="00691ACB">
        <w:rPr>
          <w:bCs/>
        </w:rPr>
        <w:t>ig, a darparu amddiffyniad effeit</w:t>
      </w:r>
      <w:r w:rsidR="00485912">
        <w:rPr>
          <w:bCs/>
        </w:rPr>
        <w:t>hiol o’r hawliau hynny ar draws pob awdurdod</w:t>
      </w:r>
      <w:r w:rsidR="00947E00">
        <w:rPr>
          <w:bCs/>
        </w:rPr>
        <w:t>’</w:t>
      </w:r>
      <w:r w:rsidR="002D5DC6" w:rsidRPr="00AA5320">
        <w:rPr>
          <w:bCs/>
        </w:rPr>
        <w:t>.</w:t>
      </w:r>
      <w:r w:rsidR="002D5DC6">
        <w:rPr>
          <w:rStyle w:val="FootnoteReference"/>
          <w:color w:val="000000"/>
          <w:szCs w:val="22"/>
        </w:rPr>
        <w:footnoteReference w:id="7"/>
      </w:r>
    </w:p>
    <w:p w:rsidR="0034248C" w:rsidRDefault="00485912" w:rsidP="000055CD">
      <w:pPr>
        <w:pStyle w:val="Parabeforenewsection"/>
        <w:numPr>
          <w:ilvl w:val="0"/>
          <w:numId w:val="10"/>
        </w:numPr>
        <w:spacing w:after="120"/>
      </w:pPr>
      <w:r>
        <w:lastRenderedPageBreak/>
        <w:t xml:space="preserve">Tra bod </w:t>
      </w:r>
      <w:r w:rsidR="00132ED2">
        <w:t xml:space="preserve">Llywodraeth y DU </w:t>
      </w:r>
      <w:r w:rsidR="003F708A">
        <w:t xml:space="preserve">heb gyhoeddi ei </w:t>
      </w:r>
      <w:r>
        <w:t xml:space="preserve">dogfen ymgynghorol hyd yn hyn, mae’n debygol o ystyried ystod </w:t>
      </w:r>
      <w:r w:rsidR="0098469D">
        <w:t>a</w:t>
      </w:r>
      <w:r>
        <w:t xml:space="preserve">wdurdod </w:t>
      </w:r>
      <w:r w:rsidR="008448D6">
        <w:t>g</w:t>
      </w:r>
      <w:r w:rsidR="0098469D">
        <w:t xml:space="preserve">oblygiadau </w:t>
      </w:r>
      <w:r w:rsidR="00D33C37">
        <w:t xml:space="preserve">hawliau dynol </w:t>
      </w:r>
      <w:r w:rsidR="002D5DC6">
        <w:t xml:space="preserve"> </w:t>
      </w:r>
      <w:r w:rsidR="0098469D">
        <w:t xml:space="preserve">y Wladwriaeth, er enghraifft eu haddaster i weithrediadau’r Lluoedd Prydeinig  </w:t>
      </w:r>
      <w:r w:rsidR="00D33C37">
        <w:t>dramor</w:t>
      </w:r>
      <w:r w:rsidR="00071EBA">
        <w:t>, a</w:t>
      </w:r>
      <w:r w:rsidR="0098469D">
        <w:t xml:space="preserve"> gall</w:t>
      </w:r>
      <w:r w:rsidR="00422A87">
        <w:t>ai</w:t>
      </w:r>
      <w:r w:rsidR="0098469D">
        <w:t xml:space="preserve"> argymell newidiadau eraill a </w:t>
      </w:r>
      <w:r w:rsidR="008448D6">
        <w:t>fedr</w:t>
      </w:r>
      <w:r w:rsidR="0098469D">
        <w:t xml:space="preserve">, o gael eu derbyn, effeithio ar orfodadwyedd hawliau’r </w:t>
      </w:r>
      <w:r w:rsidR="00D91470">
        <w:t xml:space="preserve">Cyfamod </w:t>
      </w:r>
      <w:r w:rsidR="0098469D">
        <w:t xml:space="preserve">oddi mewn i’r </w:t>
      </w:r>
      <w:r w:rsidR="00132ED2">
        <w:t>DU</w:t>
      </w:r>
      <w:r w:rsidR="00071EBA">
        <w:t>.</w:t>
      </w:r>
      <w:r w:rsidR="002D5DC6">
        <w:t xml:space="preserve"> </w:t>
      </w:r>
    </w:p>
    <w:p w:rsidR="00D64119" w:rsidRPr="00BD6841" w:rsidRDefault="00FD0D7E" w:rsidP="000055CD">
      <w:pPr>
        <w:pStyle w:val="Parabeforenewsection"/>
        <w:numPr>
          <w:ilvl w:val="0"/>
          <w:numId w:val="10"/>
        </w:numPr>
        <w:spacing w:after="120"/>
        <w:rPr>
          <w:b/>
        </w:rPr>
      </w:pPr>
      <w:r>
        <w:rPr>
          <w:b/>
        </w:rPr>
        <w:t xml:space="preserve">Argymhelliad: Dylai’r </w:t>
      </w:r>
      <w:r w:rsidR="00E84A6F">
        <w:rPr>
          <w:b/>
        </w:rPr>
        <w:t>Pwyllgor</w:t>
      </w:r>
      <w:r w:rsidR="00D64119" w:rsidRPr="00BD6841">
        <w:rPr>
          <w:b/>
        </w:rPr>
        <w:t xml:space="preserve"> </w:t>
      </w:r>
      <w:r>
        <w:rPr>
          <w:b/>
        </w:rPr>
        <w:t>ofyn i L</w:t>
      </w:r>
      <w:r w:rsidR="00132ED2">
        <w:rPr>
          <w:b/>
        </w:rPr>
        <w:t>ywodraeth y DU</w:t>
      </w:r>
      <w:r w:rsidR="00D64119" w:rsidRPr="00BD6841">
        <w:rPr>
          <w:b/>
        </w:rPr>
        <w:t xml:space="preserve"> </w:t>
      </w:r>
      <w:r>
        <w:rPr>
          <w:b/>
        </w:rPr>
        <w:t xml:space="preserve">egluro a yw’n derbyn y dylai cyfraith </w:t>
      </w:r>
      <w:r w:rsidR="00D33C37">
        <w:rPr>
          <w:b/>
        </w:rPr>
        <w:t xml:space="preserve">hawliau dynol </w:t>
      </w:r>
      <w:r>
        <w:rPr>
          <w:b/>
        </w:rPr>
        <w:t xml:space="preserve">fod yn berthnasol i’r holl diriogaethau dan reolaeth </w:t>
      </w:r>
      <w:r w:rsidR="008448D6">
        <w:rPr>
          <w:b/>
        </w:rPr>
        <w:t xml:space="preserve">effeithiol </w:t>
      </w:r>
      <w:r w:rsidR="00D64119" w:rsidRPr="00BD6841">
        <w:rPr>
          <w:b/>
        </w:rPr>
        <w:t xml:space="preserve">de facto </w:t>
      </w:r>
      <w:r>
        <w:rPr>
          <w:b/>
        </w:rPr>
        <w:t>y DU</w:t>
      </w:r>
      <w:r w:rsidR="00D64119" w:rsidRPr="00BD6841">
        <w:rPr>
          <w:b/>
        </w:rPr>
        <w:t>, a</w:t>
      </w:r>
      <w:r w:rsidR="008448D6">
        <w:rPr>
          <w:b/>
        </w:rPr>
        <w:t>c y bydd yn ystyried hyn, a’i</w:t>
      </w:r>
      <w:r>
        <w:rPr>
          <w:b/>
        </w:rPr>
        <w:t xml:space="preserve"> holl oblygiadau dan y </w:t>
      </w:r>
      <w:r w:rsidR="00691ACB">
        <w:rPr>
          <w:b/>
        </w:rPr>
        <w:t>Cyfamod</w:t>
      </w:r>
      <w:r w:rsidR="0034248C">
        <w:rPr>
          <w:b/>
        </w:rPr>
        <w:t xml:space="preserve">, </w:t>
      </w:r>
      <w:r>
        <w:rPr>
          <w:b/>
        </w:rPr>
        <w:t xml:space="preserve">mewn unrhyw </w:t>
      </w:r>
      <w:r w:rsidR="00691ACB">
        <w:rPr>
          <w:b/>
        </w:rPr>
        <w:t xml:space="preserve">gynigion </w:t>
      </w:r>
      <w:r>
        <w:rPr>
          <w:b/>
        </w:rPr>
        <w:t xml:space="preserve"> ar gyfer deddfwriaeth domestig newydd. </w:t>
      </w:r>
    </w:p>
    <w:p w:rsidR="00D64119" w:rsidRPr="00BD6841" w:rsidRDefault="00D64119" w:rsidP="000055CD">
      <w:pPr>
        <w:pStyle w:val="Parabeforeanother"/>
        <w:spacing w:after="120"/>
        <w:ind w:left="360"/>
        <w:rPr>
          <w:b/>
        </w:rPr>
      </w:pPr>
    </w:p>
    <w:p w:rsidR="00D06E45" w:rsidRPr="003443A6" w:rsidRDefault="00456A2B" w:rsidP="00E0518E">
      <w:pPr>
        <w:rPr>
          <w:bCs/>
          <w:i/>
          <w:sz w:val="24"/>
          <w:szCs w:val="24"/>
        </w:rPr>
      </w:pPr>
      <w:r>
        <w:rPr>
          <w:bCs/>
          <w:i/>
          <w:sz w:val="24"/>
          <w:szCs w:val="24"/>
        </w:rPr>
        <w:t xml:space="preserve">Addaster y </w:t>
      </w:r>
      <w:r w:rsidR="00691ACB">
        <w:rPr>
          <w:bCs/>
          <w:i/>
          <w:sz w:val="24"/>
          <w:szCs w:val="24"/>
        </w:rPr>
        <w:t>Cyfamod</w:t>
      </w:r>
      <w:r w:rsidR="0034248C">
        <w:rPr>
          <w:bCs/>
          <w:i/>
          <w:sz w:val="24"/>
          <w:szCs w:val="24"/>
        </w:rPr>
        <w:t xml:space="preserve">: </w:t>
      </w:r>
      <w:r w:rsidR="00485912">
        <w:rPr>
          <w:bCs/>
          <w:i/>
          <w:sz w:val="24"/>
          <w:szCs w:val="24"/>
        </w:rPr>
        <w:t xml:space="preserve">awdurdod </w:t>
      </w:r>
      <w:r>
        <w:rPr>
          <w:bCs/>
          <w:i/>
          <w:sz w:val="24"/>
          <w:szCs w:val="24"/>
        </w:rPr>
        <w:t xml:space="preserve">alltiriogaethol </w:t>
      </w:r>
    </w:p>
    <w:p w:rsidR="00071EBA" w:rsidRDefault="00A677F6" w:rsidP="00071EBA">
      <w:pPr>
        <w:pStyle w:val="ListParagraph"/>
        <w:numPr>
          <w:ilvl w:val="0"/>
          <w:numId w:val="10"/>
        </w:numPr>
        <w:spacing w:after="120" w:line="312" w:lineRule="auto"/>
        <w:rPr>
          <w:rFonts w:cs="Arial"/>
          <w:sz w:val="24"/>
          <w:szCs w:val="24"/>
        </w:rPr>
      </w:pPr>
      <w:r>
        <w:rPr>
          <w:rFonts w:cs="Arial"/>
          <w:sz w:val="24"/>
          <w:szCs w:val="24"/>
        </w:rPr>
        <w:t xml:space="preserve">Cwyn a wneir yn aml yn erbyn yr HRA yw bod llysoedd y </w:t>
      </w:r>
      <w:r w:rsidR="00132ED2">
        <w:rPr>
          <w:rFonts w:cs="Arial"/>
          <w:sz w:val="24"/>
          <w:szCs w:val="24"/>
        </w:rPr>
        <w:t>DU</w:t>
      </w:r>
      <w:r w:rsidR="00071EBA" w:rsidRPr="00502CF1">
        <w:rPr>
          <w:rFonts w:cs="Arial"/>
          <w:sz w:val="24"/>
          <w:szCs w:val="24"/>
        </w:rPr>
        <w:t xml:space="preserve"> </w:t>
      </w:r>
      <w:r>
        <w:rPr>
          <w:rFonts w:cs="Arial"/>
          <w:sz w:val="24"/>
          <w:szCs w:val="24"/>
        </w:rPr>
        <w:t xml:space="preserve">wedi gweithredu hawliau </w:t>
      </w:r>
      <w:r w:rsidR="00422A87">
        <w:rPr>
          <w:rFonts w:cs="Arial"/>
          <w:sz w:val="24"/>
          <w:szCs w:val="24"/>
        </w:rPr>
        <w:t>Confensiwn</w:t>
      </w:r>
      <w:r>
        <w:rPr>
          <w:rFonts w:cs="Arial"/>
          <w:sz w:val="24"/>
          <w:szCs w:val="24"/>
        </w:rPr>
        <w:t xml:space="preserve"> Ewropeaidd i wrthdaro </w:t>
      </w:r>
      <w:r w:rsidR="00691ACB">
        <w:rPr>
          <w:rFonts w:cs="Arial"/>
          <w:sz w:val="24"/>
          <w:szCs w:val="24"/>
        </w:rPr>
        <w:t>arfog</w:t>
      </w:r>
      <w:r>
        <w:rPr>
          <w:rFonts w:cs="Arial"/>
          <w:sz w:val="24"/>
          <w:szCs w:val="24"/>
        </w:rPr>
        <w:t xml:space="preserve"> mewn dull nad oedd wedi ei fwriadu erioed. Ym mis Mawrth </w:t>
      </w:r>
      <w:r w:rsidR="00071EBA" w:rsidRPr="00502CF1">
        <w:rPr>
          <w:rFonts w:cs="Arial"/>
          <w:sz w:val="24"/>
          <w:szCs w:val="24"/>
        </w:rPr>
        <w:t xml:space="preserve">2014, </w:t>
      </w:r>
      <w:r>
        <w:rPr>
          <w:rFonts w:cs="Arial"/>
          <w:sz w:val="24"/>
          <w:szCs w:val="24"/>
        </w:rPr>
        <w:t>er enghraifft</w:t>
      </w:r>
      <w:r w:rsidR="00A847A9">
        <w:rPr>
          <w:rFonts w:cs="Arial"/>
          <w:sz w:val="24"/>
          <w:szCs w:val="24"/>
        </w:rPr>
        <w:t xml:space="preserve">, rhoddodd </w:t>
      </w:r>
      <w:r>
        <w:rPr>
          <w:rFonts w:cs="Arial"/>
          <w:sz w:val="24"/>
          <w:szCs w:val="24"/>
        </w:rPr>
        <w:t xml:space="preserve">y cyn Ysgrifennydd Cartref </w:t>
      </w:r>
      <w:r w:rsidR="00071EBA" w:rsidRPr="00502CF1">
        <w:rPr>
          <w:rFonts w:cs="Arial"/>
          <w:sz w:val="24"/>
          <w:szCs w:val="24"/>
        </w:rPr>
        <w:t xml:space="preserve">Jack Straw </w:t>
      </w:r>
      <w:r w:rsidR="00A847A9">
        <w:rPr>
          <w:rFonts w:cs="Arial"/>
          <w:sz w:val="24"/>
          <w:szCs w:val="24"/>
        </w:rPr>
        <w:t>dystiolaeth i Bwyllgor amddiffyn Tŷ’r Cyffredin  ‘nad oedd</w:t>
      </w:r>
      <w:r w:rsidR="008448D6">
        <w:rPr>
          <w:rFonts w:cs="Arial"/>
          <w:sz w:val="24"/>
          <w:szCs w:val="24"/>
        </w:rPr>
        <w:t xml:space="preserve"> erioed </w:t>
      </w:r>
      <w:r w:rsidR="00A847A9">
        <w:rPr>
          <w:rFonts w:cs="Arial"/>
          <w:sz w:val="24"/>
          <w:szCs w:val="24"/>
        </w:rPr>
        <w:t xml:space="preserve">wedi rhagweld y byddai’r </w:t>
      </w:r>
      <w:r w:rsidR="00606B91">
        <w:rPr>
          <w:rFonts w:cs="Arial"/>
          <w:sz w:val="24"/>
          <w:szCs w:val="24"/>
        </w:rPr>
        <w:t xml:space="preserve">Ddeddf Hawliau Dynol </w:t>
      </w:r>
      <w:r w:rsidR="00A847A9">
        <w:rPr>
          <w:rFonts w:cs="Arial"/>
          <w:sz w:val="24"/>
          <w:szCs w:val="24"/>
        </w:rPr>
        <w:t xml:space="preserve">yn gweithredu yn y fath fodd fel y byddai’n effeithio yn </w:t>
      </w:r>
      <w:r w:rsidR="00B85330">
        <w:rPr>
          <w:rFonts w:cs="Arial"/>
          <w:sz w:val="24"/>
          <w:szCs w:val="24"/>
        </w:rPr>
        <w:t>uniongyrchol ar weithgarwch llu</w:t>
      </w:r>
      <w:r w:rsidR="00A847A9">
        <w:rPr>
          <w:rFonts w:cs="Arial"/>
          <w:sz w:val="24"/>
          <w:szCs w:val="24"/>
        </w:rPr>
        <w:t>o</w:t>
      </w:r>
      <w:r w:rsidR="00B85330">
        <w:rPr>
          <w:rFonts w:cs="Arial"/>
          <w:sz w:val="24"/>
          <w:szCs w:val="24"/>
        </w:rPr>
        <w:t>e</w:t>
      </w:r>
      <w:r w:rsidR="00A847A9">
        <w:rPr>
          <w:rFonts w:cs="Arial"/>
          <w:sz w:val="24"/>
          <w:szCs w:val="24"/>
        </w:rPr>
        <w:t xml:space="preserve">dd y </w:t>
      </w:r>
      <w:r w:rsidR="00132ED2">
        <w:rPr>
          <w:rFonts w:cs="Arial"/>
          <w:sz w:val="24"/>
          <w:szCs w:val="24"/>
        </w:rPr>
        <w:t xml:space="preserve">DU </w:t>
      </w:r>
      <w:r w:rsidR="00B85330">
        <w:rPr>
          <w:rFonts w:cs="Arial"/>
          <w:sz w:val="24"/>
          <w:szCs w:val="24"/>
        </w:rPr>
        <w:t xml:space="preserve">wrth frwydro </w:t>
      </w:r>
      <w:r w:rsidR="00D33C37">
        <w:rPr>
          <w:rFonts w:cs="Arial"/>
          <w:sz w:val="24"/>
          <w:szCs w:val="24"/>
        </w:rPr>
        <w:t>dramor</w:t>
      </w:r>
      <w:r w:rsidR="00947E00">
        <w:rPr>
          <w:rFonts w:cs="Arial"/>
          <w:sz w:val="24"/>
          <w:szCs w:val="24"/>
        </w:rPr>
        <w:t>’</w:t>
      </w:r>
      <w:r w:rsidR="00071EBA" w:rsidRPr="00502CF1">
        <w:rPr>
          <w:rFonts w:cs="Arial"/>
          <w:sz w:val="24"/>
          <w:szCs w:val="24"/>
        </w:rPr>
        <w:t>.</w:t>
      </w:r>
      <w:r w:rsidR="00071EBA" w:rsidRPr="00502CF1">
        <w:rPr>
          <w:rStyle w:val="FootnoteReference"/>
          <w:rFonts w:cs="Arial"/>
          <w:sz w:val="24"/>
          <w:szCs w:val="24"/>
        </w:rPr>
        <w:footnoteReference w:id="8"/>
      </w:r>
      <w:r w:rsidR="00071EBA" w:rsidRPr="00502CF1">
        <w:rPr>
          <w:rFonts w:cs="Arial"/>
          <w:sz w:val="24"/>
          <w:szCs w:val="24"/>
        </w:rPr>
        <w:t xml:space="preserve"> </w:t>
      </w:r>
    </w:p>
    <w:p w:rsidR="00071EBA" w:rsidRPr="00A00709" w:rsidRDefault="00A847A9" w:rsidP="00071EBA">
      <w:pPr>
        <w:pStyle w:val="ListParagraph"/>
        <w:numPr>
          <w:ilvl w:val="0"/>
          <w:numId w:val="10"/>
        </w:numPr>
        <w:spacing w:after="120" w:line="312" w:lineRule="auto"/>
        <w:rPr>
          <w:rFonts w:cs="Arial"/>
          <w:sz w:val="24"/>
          <w:szCs w:val="24"/>
        </w:rPr>
      </w:pPr>
      <w:r>
        <w:rPr>
          <w:rFonts w:cs="Arial"/>
          <w:sz w:val="24"/>
          <w:szCs w:val="24"/>
        </w:rPr>
        <w:t>Mae Adran</w:t>
      </w:r>
      <w:r w:rsidR="00071EBA" w:rsidRPr="00502CF1">
        <w:rPr>
          <w:rFonts w:cs="Arial"/>
          <w:sz w:val="24"/>
          <w:szCs w:val="24"/>
        </w:rPr>
        <w:t xml:space="preserve"> 6 o</w:t>
      </w:r>
      <w:r>
        <w:rPr>
          <w:rFonts w:cs="Arial"/>
          <w:sz w:val="24"/>
          <w:szCs w:val="24"/>
        </w:rPr>
        <w:t>’r H</w:t>
      </w:r>
      <w:r w:rsidR="00071EBA" w:rsidRPr="00502CF1">
        <w:rPr>
          <w:rFonts w:cs="Arial"/>
          <w:sz w:val="24"/>
          <w:szCs w:val="24"/>
        </w:rPr>
        <w:t xml:space="preserve">RA, </w:t>
      </w:r>
      <w:r>
        <w:rPr>
          <w:rFonts w:cs="Arial"/>
          <w:sz w:val="24"/>
          <w:szCs w:val="24"/>
        </w:rPr>
        <w:t xml:space="preserve">fodd bynnag, yn egluro ei bod yn ‘anghyfreithlon i awdurdod cyhoeddus </w:t>
      </w:r>
      <w:r w:rsidR="00DC3F0B">
        <w:rPr>
          <w:rFonts w:cs="Arial"/>
          <w:sz w:val="24"/>
          <w:szCs w:val="24"/>
        </w:rPr>
        <w:t>weithredu</w:t>
      </w:r>
      <w:r>
        <w:rPr>
          <w:rFonts w:cs="Arial"/>
          <w:sz w:val="24"/>
          <w:szCs w:val="24"/>
        </w:rPr>
        <w:t xml:space="preserve"> mewn dull sydd yn </w:t>
      </w:r>
      <w:r w:rsidR="005E0622">
        <w:rPr>
          <w:rFonts w:cs="Arial"/>
          <w:sz w:val="24"/>
          <w:szCs w:val="24"/>
        </w:rPr>
        <w:t>anghydnaws â hawl</w:t>
      </w:r>
      <w:r w:rsidR="00071EBA" w:rsidRPr="00502CF1">
        <w:rPr>
          <w:rFonts w:cs="Arial"/>
          <w:sz w:val="24"/>
          <w:szCs w:val="24"/>
        </w:rPr>
        <w:t xml:space="preserve"> </w:t>
      </w:r>
      <w:r w:rsidR="00422A87">
        <w:rPr>
          <w:rFonts w:cs="Arial"/>
          <w:sz w:val="24"/>
          <w:szCs w:val="24"/>
        </w:rPr>
        <w:t>Confensiwn</w:t>
      </w:r>
      <w:r w:rsidR="00947E00">
        <w:rPr>
          <w:rFonts w:cs="Arial"/>
          <w:sz w:val="24"/>
          <w:szCs w:val="24"/>
        </w:rPr>
        <w:t>’</w:t>
      </w:r>
      <w:r w:rsidR="00071EBA" w:rsidRPr="00502CF1">
        <w:rPr>
          <w:rFonts w:cs="Arial"/>
          <w:sz w:val="24"/>
          <w:szCs w:val="24"/>
        </w:rPr>
        <w:t xml:space="preserve">, </w:t>
      </w:r>
      <w:r w:rsidR="005E0622">
        <w:rPr>
          <w:rFonts w:cs="Arial"/>
          <w:sz w:val="24"/>
          <w:szCs w:val="24"/>
        </w:rPr>
        <w:t xml:space="preserve">oni bai </w:t>
      </w:r>
      <w:r w:rsidR="00422A87">
        <w:rPr>
          <w:rFonts w:cs="Arial"/>
          <w:sz w:val="24"/>
          <w:szCs w:val="24"/>
        </w:rPr>
        <w:t>f</w:t>
      </w:r>
      <w:r w:rsidR="005E0622">
        <w:rPr>
          <w:rFonts w:cs="Arial"/>
          <w:sz w:val="24"/>
          <w:szCs w:val="24"/>
        </w:rPr>
        <w:t xml:space="preserve">od angen gwneud hynny oherwydd Deddf Seneddol. Mae’r HRA yn eithrio’r Senedd rhag </w:t>
      </w:r>
      <w:r w:rsidR="008448D6">
        <w:rPr>
          <w:rFonts w:cs="Arial"/>
          <w:sz w:val="24"/>
          <w:szCs w:val="24"/>
        </w:rPr>
        <w:t xml:space="preserve">y </w:t>
      </w:r>
      <w:r w:rsidR="005E0622">
        <w:rPr>
          <w:rFonts w:cs="Arial"/>
          <w:sz w:val="24"/>
          <w:szCs w:val="24"/>
        </w:rPr>
        <w:t xml:space="preserve">diffiniad </w:t>
      </w:r>
      <w:r w:rsidR="008448D6">
        <w:rPr>
          <w:rFonts w:cs="Arial"/>
          <w:sz w:val="24"/>
          <w:szCs w:val="24"/>
        </w:rPr>
        <w:t xml:space="preserve">o </w:t>
      </w:r>
      <w:r w:rsidR="005E0622">
        <w:rPr>
          <w:rFonts w:cs="Arial"/>
          <w:sz w:val="24"/>
          <w:szCs w:val="24"/>
        </w:rPr>
        <w:t>‘awdurdod cyhoeddus’,</w:t>
      </w:r>
      <w:r w:rsidR="00071EBA" w:rsidRPr="00502CF1">
        <w:rPr>
          <w:rStyle w:val="FootnoteReference"/>
          <w:rFonts w:cs="Arial"/>
          <w:sz w:val="24"/>
          <w:szCs w:val="24"/>
        </w:rPr>
        <w:footnoteReference w:id="9"/>
      </w:r>
      <w:r w:rsidR="00071EBA" w:rsidRPr="00502CF1">
        <w:rPr>
          <w:rFonts w:cs="Arial"/>
          <w:sz w:val="24"/>
          <w:szCs w:val="24"/>
        </w:rPr>
        <w:t xml:space="preserve"> </w:t>
      </w:r>
      <w:r w:rsidR="005E0622">
        <w:rPr>
          <w:rFonts w:cs="Arial"/>
          <w:sz w:val="24"/>
          <w:szCs w:val="24"/>
        </w:rPr>
        <w:t>ond nid yw’n eithrio’r lluoedd arfog na’r Weinyddi</w:t>
      </w:r>
      <w:r w:rsidR="008448D6">
        <w:rPr>
          <w:rFonts w:cs="Arial"/>
          <w:sz w:val="24"/>
          <w:szCs w:val="24"/>
        </w:rPr>
        <w:t>aeth Amddiffyn a does dim yn y D</w:t>
      </w:r>
      <w:r w:rsidR="005E0622">
        <w:rPr>
          <w:rFonts w:cs="Arial"/>
          <w:sz w:val="24"/>
          <w:szCs w:val="24"/>
        </w:rPr>
        <w:t xml:space="preserve">deddf a fyddai </w:t>
      </w:r>
      <w:r w:rsidR="008448D6">
        <w:rPr>
          <w:rFonts w:cs="Arial"/>
          <w:sz w:val="24"/>
          <w:szCs w:val="24"/>
        </w:rPr>
        <w:t xml:space="preserve">fel arall </w:t>
      </w:r>
      <w:r w:rsidR="005E0622">
        <w:rPr>
          <w:rFonts w:cs="Arial"/>
          <w:sz w:val="24"/>
          <w:szCs w:val="24"/>
        </w:rPr>
        <w:t xml:space="preserve">yn atal gweithredu hawliau’r </w:t>
      </w:r>
      <w:r w:rsidR="00A677F6">
        <w:rPr>
          <w:rFonts w:cs="Arial"/>
          <w:sz w:val="24"/>
          <w:szCs w:val="24"/>
        </w:rPr>
        <w:t>Cytundeb</w:t>
      </w:r>
      <w:r w:rsidR="005E0622">
        <w:rPr>
          <w:rFonts w:cs="Arial"/>
          <w:sz w:val="24"/>
          <w:szCs w:val="24"/>
        </w:rPr>
        <w:t xml:space="preserve">. </w:t>
      </w:r>
    </w:p>
    <w:p w:rsidR="00071EBA" w:rsidRDefault="00071EBA" w:rsidP="00071EBA">
      <w:pPr>
        <w:pStyle w:val="ListParagraph"/>
        <w:numPr>
          <w:ilvl w:val="0"/>
          <w:numId w:val="10"/>
        </w:numPr>
        <w:spacing w:after="120" w:line="312" w:lineRule="auto"/>
        <w:rPr>
          <w:rFonts w:cs="Arial"/>
          <w:sz w:val="24"/>
          <w:szCs w:val="24"/>
        </w:rPr>
      </w:pPr>
      <w:r>
        <w:rPr>
          <w:rFonts w:cs="Arial"/>
          <w:sz w:val="24"/>
          <w:szCs w:val="24"/>
        </w:rPr>
        <w:t>N</w:t>
      </w:r>
      <w:r w:rsidR="00945733">
        <w:rPr>
          <w:rFonts w:cs="Arial"/>
          <w:sz w:val="24"/>
          <w:szCs w:val="24"/>
        </w:rPr>
        <w:t xml:space="preserve">id yw naill ai’r </w:t>
      </w:r>
      <w:r w:rsidR="005E0622">
        <w:rPr>
          <w:rFonts w:cs="Arial"/>
          <w:sz w:val="24"/>
          <w:szCs w:val="24"/>
        </w:rPr>
        <w:t xml:space="preserve">HRA na’r </w:t>
      </w:r>
      <w:r w:rsidR="00422A87">
        <w:rPr>
          <w:rFonts w:cs="Arial"/>
          <w:sz w:val="24"/>
          <w:szCs w:val="24"/>
        </w:rPr>
        <w:t>Confensiwn</w:t>
      </w:r>
      <w:r w:rsidR="005E0622">
        <w:rPr>
          <w:rFonts w:cs="Arial"/>
          <w:sz w:val="24"/>
          <w:szCs w:val="24"/>
        </w:rPr>
        <w:t xml:space="preserve"> yn gosod atebo</w:t>
      </w:r>
      <w:r w:rsidR="00A212D3">
        <w:rPr>
          <w:rFonts w:cs="Arial"/>
          <w:sz w:val="24"/>
          <w:szCs w:val="24"/>
        </w:rPr>
        <w:t>l</w:t>
      </w:r>
      <w:r w:rsidR="00945733">
        <w:rPr>
          <w:rFonts w:cs="Arial"/>
          <w:sz w:val="24"/>
          <w:szCs w:val="24"/>
        </w:rPr>
        <w:t xml:space="preserve">rwydd personol ar filwyr na phenaethiaid milwrol </w:t>
      </w:r>
      <w:r w:rsidR="00A212D3">
        <w:rPr>
          <w:rFonts w:cs="Arial"/>
          <w:sz w:val="24"/>
          <w:szCs w:val="24"/>
        </w:rPr>
        <w:t xml:space="preserve">am </w:t>
      </w:r>
      <w:r w:rsidR="00DC3F0B">
        <w:rPr>
          <w:rFonts w:cs="Arial"/>
          <w:sz w:val="24"/>
          <w:szCs w:val="24"/>
        </w:rPr>
        <w:t xml:space="preserve">ymyriadau </w:t>
      </w:r>
      <w:r w:rsidR="00A212D3">
        <w:rPr>
          <w:rFonts w:cs="Arial"/>
          <w:sz w:val="24"/>
          <w:szCs w:val="24"/>
        </w:rPr>
        <w:t xml:space="preserve">â </w:t>
      </w:r>
      <w:r w:rsidR="00D33C37">
        <w:rPr>
          <w:rFonts w:cs="Arial"/>
          <w:sz w:val="24"/>
          <w:szCs w:val="24"/>
        </w:rPr>
        <w:t>hawliau dynol</w:t>
      </w:r>
      <w:r w:rsidRPr="00502CF1">
        <w:rPr>
          <w:rFonts w:cs="Arial"/>
          <w:sz w:val="24"/>
          <w:szCs w:val="24"/>
        </w:rPr>
        <w:t xml:space="preserve">. </w:t>
      </w:r>
      <w:r w:rsidR="00A212D3">
        <w:rPr>
          <w:rFonts w:cs="Arial"/>
          <w:sz w:val="24"/>
          <w:szCs w:val="24"/>
        </w:rPr>
        <w:t xml:space="preserve">Er y gall unigolion fod yn atebol dan </w:t>
      </w:r>
      <w:r w:rsidR="00945733">
        <w:rPr>
          <w:rFonts w:cs="Arial"/>
          <w:sz w:val="24"/>
          <w:szCs w:val="24"/>
        </w:rPr>
        <w:t xml:space="preserve">y </w:t>
      </w:r>
      <w:r w:rsidR="00A212D3">
        <w:rPr>
          <w:rFonts w:cs="Arial"/>
          <w:sz w:val="24"/>
          <w:szCs w:val="24"/>
        </w:rPr>
        <w:t>deddfau troseddol am eu penderfyniadau, cyrff llyw</w:t>
      </w:r>
      <w:r w:rsidR="00DC3F0B">
        <w:rPr>
          <w:rFonts w:cs="Arial"/>
          <w:sz w:val="24"/>
          <w:szCs w:val="24"/>
        </w:rPr>
        <w:t>od</w:t>
      </w:r>
      <w:r w:rsidR="00A212D3">
        <w:rPr>
          <w:rFonts w:cs="Arial"/>
          <w:sz w:val="24"/>
          <w:szCs w:val="24"/>
        </w:rPr>
        <w:t xml:space="preserve">raethol yn unig sydd yn atebol dan y </w:t>
      </w:r>
      <w:r w:rsidR="00422A87">
        <w:rPr>
          <w:rFonts w:cs="Arial"/>
          <w:sz w:val="24"/>
          <w:szCs w:val="24"/>
        </w:rPr>
        <w:t>Confensiwn</w:t>
      </w:r>
      <w:r w:rsidR="00A212D3">
        <w:rPr>
          <w:rFonts w:cs="Arial"/>
          <w:sz w:val="24"/>
          <w:szCs w:val="24"/>
        </w:rPr>
        <w:t xml:space="preserve"> am dorri rheolau </w:t>
      </w:r>
      <w:r w:rsidR="00D33C37">
        <w:rPr>
          <w:rFonts w:cs="Arial"/>
          <w:sz w:val="24"/>
          <w:szCs w:val="24"/>
        </w:rPr>
        <w:t>hawliau dynol</w:t>
      </w:r>
      <w:r w:rsidRPr="00502CF1">
        <w:rPr>
          <w:rFonts w:cs="Arial"/>
          <w:sz w:val="24"/>
          <w:szCs w:val="24"/>
        </w:rPr>
        <w:t xml:space="preserve">. </w:t>
      </w:r>
      <w:r w:rsidR="00A212D3" w:rsidRPr="00945733">
        <w:rPr>
          <w:rFonts w:cs="Arial"/>
          <w:sz w:val="24"/>
          <w:szCs w:val="24"/>
        </w:rPr>
        <w:t xml:space="preserve">Yn yr un </w:t>
      </w:r>
      <w:r w:rsidR="00945733" w:rsidRPr="00945733">
        <w:rPr>
          <w:rFonts w:cs="Arial"/>
          <w:sz w:val="24"/>
          <w:szCs w:val="24"/>
        </w:rPr>
        <w:t>modd</w:t>
      </w:r>
      <w:r w:rsidR="00945733">
        <w:rPr>
          <w:rFonts w:cs="Arial"/>
          <w:sz w:val="24"/>
          <w:szCs w:val="24"/>
        </w:rPr>
        <w:t xml:space="preserve">, </w:t>
      </w:r>
      <w:r w:rsidR="00A212D3">
        <w:rPr>
          <w:rFonts w:cs="Arial"/>
          <w:sz w:val="24"/>
          <w:szCs w:val="24"/>
        </w:rPr>
        <w:t>mae’r H</w:t>
      </w:r>
      <w:r w:rsidRPr="00502CF1">
        <w:rPr>
          <w:rFonts w:cs="Arial"/>
          <w:sz w:val="24"/>
          <w:szCs w:val="24"/>
        </w:rPr>
        <w:t xml:space="preserve">RA </w:t>
      </w:r>
      <w:r w:rsidR="00A212D3">
        <w:rPr>
          <w:rFonts w:cs="Arial"/>
          <w:sz w:val="24"/>
          <w:szCs w:val="24"/>
        </w:rPr>
        <w:t>yn gosod cyfyngiadau arwyddocaol ar yr amgylchiadau pan y gellir d</w:t>
      </w:r>
      <w:r w:rsidR="00583BC5">
        <w:rPr>
          <w:rFonts w:cs="Arial"/>
          <w:sz w:val="24"/>
          <w:szCs w:val="24"/>
        </w:rPr>
        <w:t>yfarnu iawndal.</w:t>
      </w:r>
      <w:r w:rsidRPr="00502CF1">
        <w:rPr>
          <w:rStyle w:val="FootnoteReference"/>
          <w:rFonts w:cs="Arial"/>
          <w:sz w:val="24"/>
          <w:szCs w:val="24"/>
        </w:rPr>
        <w:footnoteReference w:id="10"/>
      </w:r>
      <w:r w:rsidRPr="00502CF1">
        <w:rPr>
          <w:rFonts w:cs="Arial"/>
          <w:sz w:val="24"/>
          <w:szCs w:val="24"/>
        </w:rPr>
        <w:t xml:space="preserve"> </w:t>
      </w:r>
      <w:r w:rsidR="00583BC5">
        <w:rPr>
          <w:rFonts w:cs="Arial"/>
          <w:sz w:val="24"/>
          <w:szCs w:val="24"/>
        </w:rPr>
        <w:t xml:space="preserve">Mae dyfarnu iawndal yn anarferol </w:t>
      </w:r>
      <w:r w:rsidR="00583BC5">
        <w:rPr>
          <w:rFonts w:cs="Arial"/>
          <w:sz w:val="24"/>
          <w:szCs w:val="24"/>
        </w:rPr>
        <w:lastRenderedPageBreak/>
        <w:t xml:space="preserve">mewn achosion o </w:t>
      </w:r>
      <w:r w:rsidR="00D33C37">
        <w:rPr>
          <w:rFonts w:cs="Arial"/>
          <w:sz w:val="24"/>
          <w:szCs w:val="24"/>
        </w:rPr>
        <w:t xml:space="preserve">hawliau dynol </w:t>
      </w:r>
      <w:r w:rsidR="00583BC5">
        <w:rPr>
          <w:rFonts w:cs="Arial"/>
          <w:sz w:val="24"/>
          <w:szCs w:val="24"/>
        </w:rPr>
        <w:t>ac anaml iawn</w:t>
      </w:r>
      <w:r w:rsidR="00A60FA0">
        <w:rPr>
          <w:rFonts w:cs="Arial"/>
          <w:sz w:val="24"/>
          <w:szCs w:val="24"/>
        </w:rPr>
        <w:t xml:space="preserve"> y ceir symiau arian arwyddocaol ynghlwm wrthynt. </w:t>
      </w:r>
      <w:r w:rsidRPr="00502CF1">
        <w:rPr>
          <w:rStyle w:val="FootnoteReference"/>
          <w:rFonts w:cs="Arial"/>
          <w:sz w:val="24"/>
          <w:szCs w:val="24"/>
        </w:rPr>
        <w:footnoteReference w:id="11"/>
      </w:r>
      <w:r w:rsidRPr="00502CF1">
        <w:rPr>
          <w:rFonts w:cs="Arial"/>
          <w:sz w:val="24"/>
          <w:szCs w:val="24"/>
        </w:rPr>
        <w:t xml:space="preserve"> </w:t>
      </w:r>
    </w:p>
    <w:p w:rsidR="0034248C" w:rsidRPr="00570431" w:rsidRDefault="00B85330" w:rsidP="00570431">
      <w:pPr>
        <w:pStyle w:val="Parabeforeanother"/>
        <w:numPr>
          <w:ilvl w:val="0"/>
          <w:numId w:val="10"/>
        </w:numPr>
        <w:spacing w:after="120"/>
      </w:pPr>
      <w:r>
        <w:t>Mae sylw gwleidyddol diweddar yn awgrymu</w:t>
      </w:r>
      <w:r w:rsidR="001233C5">
        <w:t xml:space="preserve"> </w:t>
      </w:r>
      <w:r>
        <w:t xml:space="preserve">bod </w:t>
      </w:r>
      <w:r w:rsidR="00132ED2">
        <w:t xml:space="preserve">Llywodraeth y DU </w:t>
      </w:r>
      <w:r>
        <w:t xml:space="preserve">am geisio </w:t>
      </w:r>
      <w:r w:rsidR="001233C5">
        <w:t xml:space="preserve">deddfu i newid </w:t>
      </w:r>
      <w:r w:rsidR="00456A2B">
        <w:t xml:space="preserve">addaster </w:t>
      </w:r>
      <w:r w:rsidR="001233C5">
        <w:t xml:space="preserve">cyfraith </w:t>
      </w:r>
      <w:r w:rsidR="00A60FA0">
        <w:t>hawliau dynol</w:t>
      </w:r>
      <w:r w:rsidR="00071EBA">
        <w:t xml:space="preserve"> </w:t>
      </w:r>
      <w:r w:rsidR="00B65F72">
        <w:t xml:space="preserve">i dir y </w:t>
      </w:r>
      <w:r w:rsidR="00132ED2">
        <w:t>DU</w:t>
      </w:r>
      <w:r w:rsidR="00B65F72">
        <w:t xml:space="preserve">. Byddai hyn yn peri </w:t>
      </w:r>
      <w:r w:rsidR="00A60FA0">
        <w:t>gorfod</w:t>
      </w:r>
      <w:r w:rsidR="00B65F72">
        <w:t xml:space="preserve"> cefnu ar ymagwedd Llys Hawliau Dynol Ewrop i weithredu </w:t>
      </w:r>
      <w:r w:rsidR="004E38F3">
        <w:t>alltiriogaethol</w:t>
      </w:r>
      <w:r w:rsidR="00B65F72">
        <w:t xml:space="preserve"> y </w:t>
      </w:r>
      <w:r w:rsidR="00C11630">
        <w:t>Confensiwn</w:t>
      </w:r>
      <w:r w:rsidR="00B65F72">
        <w:t>, a</w:t>
      </w:r>
      <w:r w:rsidR="004D70FC">
        <w:t xml:space="preserve"> ddilynir ar hyn o bryd gan </w:t>
      </w:r>
      <w:r w:rsidR="005F1AB3">
        <w:t xml:space="preserve">Oruchaf Lys y </w:t>
      </w:r>
      <w:r w:rsidR="00132ED2">
        <w:t>DU</w:t>
      </w:r>
      <w:r w:rsidR="005F1AB3">
        <w:t xml:space="preserve">, sydd yn gyson ag ymagwedd y </w:t>
      </w:r>
      <w:r w:rsidR="00E84A6F">
        <w:t>Pwyllgor</w:t>
      </w:r>
      <w:r w:rsidR="0034248C" w:rsidRPr="00071EBA">
        <w:t xml:space="preserve"> </w:t>
      </w:r>
      <w:r w:rsidR="005F1AB3">
        <w:t xml:space="preserve">dan y </w:t>
      </w:r>
      <w:r w:rsidR="00D91470">
        <w:t>Cyfamod</w:t>
      </w:r>
      <w:r w:rsidR="00691ACB">
        <w:t>.</w:t>
      </w:r>
      <w:r w:rsidR="002F2128" w:rsidRPr="00071EBA">
        <w:t xml:space="preserve"> </w:t>
      </w:r>
      <w:r w:rsidR="0034248C" w:rsidRPr="00071EBA">
        <w:t xml:space="preserve"> </w:t>
      </w:r>
    </w:p>
    <w:p w:rsidR="00B01649" w:rsidRPr="00B01649" w:rsidRDefault="005F1AB3" w:rsidP="00B01649">
      <w:pPr>
        <w:pStyle w:val="ListParagraph"/>
        <w:numPr>
          <w:ilvl w:val="0"/>
          <w:numId w:val="10"/>
        </w:numPr>
        <w:spacing w:after="120" w:line="312" w:lineRule="auto"/>
        <w:rPr>
          <w:rFonts w:cs="Arial"/>
          <w:sz w:val="24"/>
          <w:szCs w:val="24"/>
        </w:rPr>
      </w:pPr>
      <w:r>
        <w:rPr>
          <w:rFonts w:cs="Arial"/>
          <w:sz w:val="24"/>
          <w:szCs w:val="24"/>
        </w:rPr>
        <w:t>Y</w:t>
      </w:r>
      <w:r w:rsidR="00D06E45" w:rsidRPr="00D06E45">
        <w:rPr>
          <w:rFonts w:cs="Arial"/>
          <w:sz w:val="24"/>
          <w:szCs w:val="24"/>
        </w:rPr>
        <w:t>n 2008,</w:t>
      </w:r>
      <w:r w:rsidR="00DC3F0B">
        <w:rPr>
          <w:rFonts w:cs="Arial"/>
          <w:sz w:val="24"/>
          <w:szCs w:val="24"/>
        </w:rPr>
        <w:t xml:space="preserve"> </w:t>
      </w:r>
      <w:r>
        <w:rPr>
          <w:rFonts w:cs="Arial"/>
          <w:sz w:val="24"/>
          <w:szCs w:val="24"/>
        </w:rPr>
        <w:t xml:space="preserve">yn Nhŷ’r Arglwyddi codwyd y cwestiwn a oedd yr </w:t>
      </w:r>
      <w:r w:rsidR="0053593F">
        <w:rPr>
          <w:rFonts w:cs="Arial"/>
          <w:sz w:val="24"/>
          <w:szCs w:val="24"/>
        </w:rPr>
        <w:t xml:space="preserve">HRA </w:t>
      </w:r>
      <w:r>
        <w:rPr>
          <w:rFonts w:cs="Arial"/>
          <w:sz w:val="24"/>
          <w:szCs w:val="24"/>
        </w:rPr>
        <w:t>i’w ddefnyddio yn alltiriogaethol yn A</w:t>
      </w:r>
      <w:r w:rsidR="00D06E45" w:rsidRPr="00D06E45">
        <w:rPr>
          <w:rFonts w:cs="Arial"/>
          <w:i/>
          <w:sz w:val="24"/>
          <w:szCs w:val="24"/>
        </w:rPr>
        <w:t>l Skeini and others v Secretary of State for Defence</w:t>
      </w:r>
      <w:r w:rsidR="00D06E45" w:rsidRPr="00D06E45">
        <w:rPr>
          <w:rFonts w:cs="Arial"/>
          <w:sz w:val="24"/>
          <w:szCs w:val="24"/>
        </w:rPr>
        <w:t>.</w:t>
      </w:r>
      <w:r w:rsidR="00D06E45" w:rsidRPr="00D06E45">
        <w:rPr>
          <w:rStyle w:val="FootnoteReference"/>
          <w:rFonts w:cs="Arial"/>
          <w:sz w:val="24"/>
          <w:szCs w:val="24"/>
        </w:rPr>
        <w:footnoteReference w:id="12"/>
      </w:r>
      <w:r w:rsidR="00D06E45" w:rsidRPr="00D06E45">
        <w:rPr>
          <w:rFonts w:cs="Arial"/>
          <w:sz w:val="24"/>
          <w:szCs w:val="24"/>
        </w:rPr>
        <w:t xml:space="preserve"> </w:t>
      </w:r>
      <w:r w:rsidR="00DC3F0B">
        <w:rPr>
          <w:rFonts w:cs="Arial"/>
          <w:sz w:val="24"/>
          <w:szCs w:val="24"/>
        </w:rPr>
        <w:t>Roedd mwyafrif Tŷ’r Arg</w:t>
      </w:r>
      <w:r>
        <w:rPr>
          <w:rFonts w:cs="Arial"/>
          <w:sz w:val="24"/>
          <w:szCs w:val="24"/>
        </w:rPr>
        <w:t>l</w:t>
      </w:r>
      <w:r w:rsidR="00DC3F0B">
        <w:rPr>
          <w:rFonts w:cs="Arial"/>
          <w:sz w:val="24"/>
          <w:szCs w:val="24"/>
        </w:rPr>
        <w:t>w</w:t>
      </w:r>
      <w:r>
        <w:rPr>
          <w:rFonts w:cs="Arial"/>
          <w:sz w:val="24"/>
          <w:szCs w:val="24"/>
        </w:rPr>
        <w:t xml:space="preserve">yddi yn cytuno bod gan yr </w:t>
      </w:r>
      <w:r w:rsidR="00D06E45" w:rsidRPr="00D06E45">
        <w:rPr>
          <w:rFonts w:cs="Arial"/>
          <w:sz w:val="24"/>
          <w:szCs w:val="24"/>
        </w:rPr>
        <w:t xml:space="preserve">HRA </w:t>
      </w:r>
      <w:r>
        <w:rPr>
          <w:rFonts w:cs="Arial"/>
          <w:sz w:val="24"/>
          <w:szCs w:val="24"/>
        </w:rPr>
        <w:t>effaith</w:t>
      </w:r>
      <w:r w:rsidRPr="005F1AB3">
        <w:rPr>
          <w:rFonts w:cs="Arial"/>
          <w:sz w:val="24"/>
          <w:szCs w:val="24"/>
        </w:rPr>
        <w:t xml:space="preserve"> </w:t>
      </w:r>
      <w:r>
        <w:rPr>
          <w:rFonts w:cs="Arial"/>
          <w:sz w:val="24"/>
          <w:szCs w:val="24"/>
        </w:rPr>
        <w:t>alltiriogaethol yn yr amgylchiadau</w:t>
      </w:r>
      <w:r w:rsidR="00EB3405">
        <w:rPr>
          <w:rFonts w:cs="Arial"/>
          <w:sz w:val="24"/>
          <w:szCs w:val="24"/>
        </w:rPr>
        <w:t xml:space="preserve"> </w:t>
      </w:r>
      <w:r>
        <w:rPr>
          <w:rFonts w:cs="Arial"/>
          <w:sz w:val="24"/>
          <w:szCs w:val="24"/>
        </w:rPr>
        <w:t xml:space="preserve">hynny lle roedd gan y DU </w:t>
      </w:r>
      <w:r w:rsidR="00965FBD">
        <w:rPr>
          <w:rFonts w:cs="Arial"/>
          <w:sz w:val="24"/>
          <w:szCs w:val="24"/>
        </w:rPr>
        <w:t>‘</w:t>
      </w:r>
      <w:r>
        <w:rPr>
          <w:rFonts w:cs="Arial"/>
          <w:sz w:val="24"/>
          <w:szCs w:val="24"/>
        </w:rPr>
        <w:t>awdurdodaeth</w:t>
      </w:r>
      <w:r w:rsidR="00965FBD">
        <w:rPr>
          <w:rFonts w:cs="Arial"/>
          <w:sz w:val="24"/>
          <w:szCs w:val="24"/>
        </w:rPr>
        <w:t>’ at ddibenion Erthygl</w:t>
      </w:r>
      <w:r w:rsidR="00D06E45" w:rsidRPr="00D06E45">
        <w:rPr>
          <w:rFonts w:cs="Arial"/>
          <w:sz w:val="24"/>
          <w:szCs w:val="24"/>
        </w:rPr>
        <w:t xml:space="preserve"> 1 ECHR.</w:t>
      </w:r>
      <w:r w:rsidR="00D06E45" w:rsidRPr="00D06E45">
        <w:rPr>
          <w:rStyle w:val="FootnoteReference"/>
          <w:rFonts w:cs="Arial"/>
          <w:sz w:val="24"/>
          <w:szCs w:val="24"/>
        </w:rPr>
        <w:footnoteReference w:id="13"/>
      </w:r>
      <w:r w:rsidR="00D06E45" w:rsidRPr="00D06E45">
        <w:rPr>
          <w:rFonts w:cs="Arial"/>
          <w:sz w:val="24"/>
          <w:szCs w:val="24"/>
        </w:rPr>
        <w:t xml:space="preserve"> </w:t>
      </w:r>
      <w:r w:rsidR="00965FBD">
        <w:rPr>
          <w:rFonts w:cs="Arial"/>
          <w:sz w:val="24"/>
          <w:szCs w:val="24"/>
        </w:rPr>
        <w:t xml:space="preserve">Pan ddaeth </w:t>
      </w:r>
      <w:r w:rsidR="00965FBD" w:rsidRPr="00965FBD">
        <w:rPr>
          <w:rFonts w:cs="Arial"/>
          <w:i/>
          <w:sz w:val="24"/>
          <w:szCs w:val="24"/>
        </w:rPr>
        <w:t>A</w:t>
      </w:r>
      <w:r w:rsidR="00B01649" w:rsidRPr="00B01649">
        <w:rPr>
          <w:rFonts w:cs="Arial"/>
          <w:i/>
          <w:sz w:val="24"/>
          <w:szCs w:val="24"/>
        </w:rPr>
        <w:t>l Skeini</w:t>
      </w:r>
      <w:r w:rsidR="00B01649" w:rsidRPr="00B01649">
        <w:rPr>
          <w:rFonts w:cs="Arial"/>
          <w:sz w:val="24"/>
          <w:szCs w:val="24"/>
        </w:rPr>
        <w:t xml:space="preserve"> </w:t>
      </w:r>
      <w:r w:rsidR="00965FBD">
        <w:rPr>
          <w:rFonts w:cs="Arial"/>
          <w:sz w:val="24"/>
          <w:szCs w:val="24"/>
        </w:rPr>
        <w:t>gerbron</w:t>
      </w:r>
      <w:r w:rsidR="00B01649" w:rsidRPr="00B01649">
        <w:rPr>
          <w:rFonts w:cs="Arial"/>
          <w:sz w:val="24"/>
          <w:szCs w:val="24"/>
        </w:rPr>
        <w:t xml:space="preserve"> </w:t>
      </w:r>
      <w:r w:rsidR="00965FBD">
        <w:rPr>
          <w:rFonts w:cs="Arial"/>
          <w:sz w:val="24"/>
          <w:szCs w:val="24"/>
        </w:rPr>
        <w:t>Llys Hawliau Dynol Ewrop y</w:t>
      </w:r>
      <w:r w:rsidR="00B01649" w:rsidRPr="00B01649">
        <w:rPr>
          <w:rFonts w:cs="Arial"/>
          <w:sz w:val="24"/>
          <w:szCs w:val="24"/>
        </w:rPr>
        <w:t xml:space="preserve">n 2011, </w:t>
      </w:r>
      <w:r w:rsidR="00965FBD">
        <w:rPr>
          <w:rFonts w:cs="Arial"/>
          <w:sz w:val="24"/>
          <w:szCs w:val="24"/>
        </w:rPr>
        <w:t xml:space="preserve">fodd bynnag, roedd y Llys wedi anghytuno </w:t>
      </w:r>
      <w:r w:rsidR="00C11630" w:rsidRPr="001E5322">
        <w:rPr>
          <w:rFonts w:asciiTheme="majorHAnsi" w:hAnsiTheme="majorHAnsi" w:cs="Arial"/>
          <w:sz w:val="24"/>
          <w:szCs w:val="24"/>
        </w:rPr>
        <w:t>â</w:t>
      </w:r>
      <w:r w:rsidR="00C11630">
        <w:rPr>
          <w:rFonts w:cs="Arial"/>
          <w:sz w:val="24"/>
          <w:szCs w:val="24"/>
        </w:rPr>
        <w:t xml:space="preserve"> </w:t>
      </w:r>
      <w:r w:rsidR="00965FBD">
        <w:rPr>
          <w:rFonts w:cs="Arial"/>
          <w:sz w:val="24"/>
          <w:szCs w:val="24"/>
        </w:rPr>
        <w:t xml:space="preserve">chasgliadau Tŷ’r </w:t>
      </w:r>
      <w:r w:rsidR="00DC3F0B">
        <w:rPr>
          <w:rFonts w:cs="Arial"/>
          <w:sz w:val="24"/>
          <w:szCs w:val="24"/>
        </w:rPr>
        <w:t xml:space="preserve"> Arglwyddi </w:t>
      </w:r>
      <w:r w:rsidR="00965FBD">
        <w:rPr>
          <w:rFonts w:cs="Arial"/>
          <w:sz w:val="24"/>
          <w:szCs w:val="24"/>
        </w:rPr>
        <w:t>nad oedd gan luoedd y</w:t>
      </w:r>
      <w:r w:rsidR="00B01649" w:rsidRPr="00B01649">
        <w:rPr>
          <w:rFonts w:cs="Arial"/>
          <w:sz w:val="24"/>
          <w:szCs w:val="24"/>
        </w:rPr>
        <w:t xml:space="preserve"> </w:t>
      </w:r>
      <w:r w:rsidR="00132ED2">
        <w:rPr>
          <w:rFonts w:cs="Arial"/>
          <w:sz w:val="24"/>
          <w:szCs w:val="24"/>
        </w:rPr>
        <w:t xml:space="preserve">DU </w:t>
      </w:r>
      <w:r w:rsidR="00965FBD">
        <w:rPr>
          <w:rFonts w:cs="Arial"/>
          <w:sz w:val="24"/>
          <w:szCs w:val="24"/>
        </w:rPr>
        <w:t xml:space="preserve">‘reolaeth effeithiol’ o </w:t>
      </w:r>
      <w:r w:rsidR="00B01649" w:rsidRPr="00B01649">
        <w:rPr>
          <w:rFonts w:cs="Arial"/>
          <w:sz w:val="24"/>
          <w:szCs w:val="24"/>
        </w:rPr>
        <w:t xml:space="preserve"> Basra</w:t>
      </w:r>
      <w:r w:rsidR="00965FBD" w:rsidRPr="00965FBD">
        <w:rPr>
          <w:rFonts w:cs="Arial"/>
          <w:sz w:val="24"/>
          <w:szCs w:val="24"/>
        </w:rPr>
        <w:t xml:space="preserve"> </w:t>
      </w:r>
      <w:r w:rsidR="00965FBD">
        <w:rPr>
          <w:rFonts w:cs="Arial"/>
          <w:sz w:val="24"/>
          <w:szCs w:val="24"/>
        </w:rPr>
        <w:t xml:space="preserve">at ddibenion Erthygl </w:t>
      </w:r>
      <w:r w:rsidR="00965FBD" w:rsidRPr="00D06E45">
        <w:rPr>
          <w:rFonts w:cs="Arial"/>
          <w:sz w:val="24"/>
          <w:szCs w:val="24"/>
        </w:rPr>
        <w:t>1 ECHR.</w:t>
      </w:r>
      <w:r w:rsidR="00B01649" w:rsidRPr="00B01649">
        <w:rPr>
          <w:rFonts w:cs="Arial"/>
          <w:sz w:val="24"/>
          <w:szCs w:val="24"/>
        </w:rPr>
        <w:t xml:space="preserve"> </w:t>
      </w:r>
      <w:r w:rsidR="00965FBD">
        <w:rPr>
          <w:rFonts w:cs="Arial"/>
          <w:sz w:val="24"/>
          <w:szCs w:val="24"/>
        </w:rPr>
        <w:t xml:space="preserve">Canfu’r Llys, o ran </w:t>
      </w:r>
      <w:r w:rsidR="00C11630">
        <w:rPr>
          <w:rFonts w:cs="Arial"/>
          <w:sz w:val="24"/>
          <w:szCs w:val="24"/>
        </w:rPr>
        <w:t>realiti</w:t>
      </w:r>
      <w:r w:rsidR="00965FBD">
        <w:rPr>
          <w:rFonts w:cs="Arial"/>
          <w:sz w:val="24"/>
          <w:szCs w:val="24"/>
        </w:rPr>
        <w:t xml:space="preserve"> </w:t>
      </w:r>
      <w:r w:rsidR="00C11630">
        <w:rPr>
          <w:rFonts w:cs="Arial"/>
          <w:sz w:val="24"/>
          <w:szCs w:val="24"/>
        </w:rPr>
        <w:t>g</w:t>
      </w:r>
      <w:r w:rsidR="00965FBD">
        <w:rPr>
          <w:rFonts w:cs="Arial"/>
          <w:sz w:val="24"/>
          <w:szCs w:val="24"/>
        </w:rPr>
        <w:t>yfreithiol</w:t>
      </w:r>
      <w:r w:rsidR="003639F1">
        <w:rPr>
          <w:rFonts w:cs="Arial"/>
          <w:sz w:val="24"/>
          <w:szCs w:val="24"/>
        </w:rPr>
        <w:t xml:space="preserve"> </w:t>
      </w:r>
      <w:r w:rsidR="00965FBD">
        <w:rPr>
          <w:rFonts w:cs="Arial"/>
          <w:sz w:val="24"/>
          <w:szCs w:val="24"/>
        </w:rPr>
        <w:t>ac ymarferol</w:t>
      </w:r>
      <w:r w:rsidR="003639F1">
        <w:rPr>
          <w:rFonts w:cs="Arial"/>
          <w:sz w:val="24"/>
          <w:szCs w:val="24"/>
        </w:rPr>
        <w:t>, bod ‘y Deyrnas Unedig wedi cymryd arnynt awdurdod a chyfrifoldeb cynnal a chadw diogelwch yn Ne Ddwyrain Irac’ ac felly wedi mwynhau awdurdod</w:t>
      </w:r>
      <w:r w:rsidR="00EB3405">
        <w:rPr>
          <w:rFonts w:cs="Arial"/>
          <w:sz w:val="24"/>
          <w:szCs w:val="24"/>
        </w:rPr>
        <w:t>aeth at ddibenion y Cytundeb.</w:t>
      </w:r>
      <w:r w:rsidR="00B01649" w:rsidRPr="00B01649">
        <w:rPr>
          <w:rFonts w:cs="Arial"/>
          <w:sz w:val="24"/>
          <w:szCs w:val="24"/>
          <w:vertAlign w:val="superscript"/>
        </w:rPr>
        <w:footnoteReference w:id="14"/>
      </w:r>
    </w:p>
    <w:p w:rsidR="00502CF1" w:rsidRDefault="00502CF1" w:rsidP="00570431">
      <w:pPr>
        <w:pStyle w:val="ListParagraph"/>
        <w:spacing w:after="120" w:line="312" w:lineRule="auto"/>
        <w:ind w:left="360"/>
        <w:rPr>
          <w:rFonts w:cs="Arial"/>
          <w:sz w:val="24"/>
          <w:szCs w:val="24"/>
        </w:rPr>
      </w:pPr>
    </w:p>
    <w:p w:rsidR="00907004" w:rsidRPr="00907004" w:rsidRDefault="003639F1" w:rsidP="00907004">
      <w:pPr>
        <w:pStyle w:val="ListParagraph"/>
        <w:numPr>
          <w:ilvl w:val="0"/>
          <w:numId w:val="10"/>
        </w:numPr>
        <w:spacing w:after="120" w:line="312" w:lineRule="auto"/>
        <w:rPr>
          <w:rFonts w:cs="Arial"/>
          <w:sz w:val="24"/>
          <w:szCs w:val="24"/>
        </w:rPr>
      </w:pPr>
      <w:r>
        <w:rPr>
          <w:rFonts w:cs="Arial"/>
          <w:sz w:val="24"/>
          <w:szCs w:val="24"/>
        </w:rPr>
        <w:t>Y</w:t>
      </w:r>
      <w:r w:rsidR="00907004" w:rsidRPr="00907004">
        <w:rPr>
          <w:rFonts w:cs="Arial"/>
          <w:sz w:val="24"/>
          <w:szCs w:val="24"/>
        </w:rPr>
        <w:t xml:space="preserve">n 2013, </w:t>
      </w:r>
      <w:r>
        <w:rPr>
          <w:rFonts w:cs="Arial"/>
          <w:sz w:val="24"/>
          <w:szCs w:val="24"/>
        </w:rPr>
        <w:t xml:space="preserve">clywodd y Goruchaf Lys achos </w:t>
      </w:r>
      <w:r w:rsidR="00907004" w:rsidRPr="00907004">
        <w:rPr>
          <w:rFonts w:cs="Arial"/>
          <w:i/>
          <w:sz w:val="24"/>
          <w:szCs w:val="24"/>
        </w:rPr>
        <w:t>Smith and others v Ministry of Defence</w:t>
      </w:r>
      <w:r w:rsidR="00907004" w:rsidRPr="00907004">
        <w:rPr>
          <w:rStyle w:val="FootnoteReference"/>
          <w:rFonts w:cs="Arial"/>
          <w:i/>
          <w:sz w:val="24"/>
          <w:szCs w:val="24"/>
        </w:rPr>
        <w:footnoteReference w:id="15"/>
      </w:r>
      <w:r w:rsidR="00907004" w:rsidRPr="00907004">
        <w:rPr>
          <w:rFonts w:cs="Arial"/>
          <w:i/>
          <w:sz w:val="24"/>
          <w:szCs w:val="24"/>
        </w:rPr>
        <w:t xml:space="preserve"> </w:t>
      </w:r>
      <w:r w:rsidR="00CD38E2" w:rsidRPr="00A16FD0">
        <w:t>–</w:t>
      </w:r>
      <w:r w:rsidR="00907004" w:rsidRPr="00907004">
        <w:rPr>
          <w:rFonts w:cs="Arial"/>
          <w:sz w:val="24"/>
          <w:szCs w:val="24"/>
        </w:rPr>
        <w:t xml:space="preserve"> </w:t>
      </w:r>
      <w:r>
        <w:rPr>
          <w:rFonts w:cs="Arial"/>
          <w:sz w:val="24"/>
          <w:szCs w:val="24"/>
        </w:rPr>
        <w:t xml:space="preserve">oedd yn ymwneud â marwolaeth tri milwr yn Irac; </w:t>
      </w:r>
      <w:r w:rsidR="00471A37">
        <w:rPr>
          <w:rFonts w:cs="Arial"/>
          <w:sz w:val="24"/>
          <w:szCs w:val="24"/>
        </w:rPr>
        <w:t xml:space="preserve">roedd dau ohonynt wedi cael eu lladd tra ar batrôl mewn cerbydau Snatch Land Rover tra roedd </w:t>
      </w:r>
      <w:r w:rsidR="00727EE4">
        <w:rPr>
          <w:rFonts w:cs="Arial"/>
          <w:sz w:val="24"/>
          <w:szCs w:val="24"/>
        </w:rPr>
        <w:t>un</w:t>
      </w:r>
      <w:r w:rsidR="00471A37">
        <w:rPr>
          <w:rFonts w:cs="Arial"/>
          <w:sz w:val="24"/>
          <w:szCs w:val="24"/>
        </w:rPr>
        <w:t xml:space="preserve"> wedi cael ei ladd mewn </w:t>
      </w:r>
      <w:r w:rsidR="00074922">
        <w:rPr>
          <w:rFonts w:cs="Arial"/>
          <w:sz w:val="24"/>
          <w:szCs w:val="24"/>
        </w:rPr>
        <w:t xml:space="preserve">digwyddiad gyda thanc </w:t>
      </w:r>
      <w:r w:rsidR="00907004" w:rsidRPr="00907004">
        <w:rPr>
          <w:rFonts w:cs="Arial"/>
          <w:sz w:val="24"/>
          <w:szCs w:val="24"/>
        </w:rPr>
        <w:t xml:space="preserve">Challenger </w:t>
      </w:r>
      <w:r w:rsidR="00074922">
        <w:rPr>
          <w:rFonts w:cs="Arial"/>
          <w:sz w:val="24"/>
          <w:szCs w:val="24"/>
        </w:rPr>
        <w:t>yn ystod ymosodiad milwrol.</w:t>
      </w:r>
      <w:r w:rsidR="00907004" w:rsidRPr="00907004">
        <w:rPr>
          <w:rStyle w:val="FootnoteReference"/>
          <w:rFonts w:cs="Arial"/>
          <w:sz w:val="24"/>
          <w:szCs w:val="24"/>
        </w:rPr>
        <w:footnoteReference w:id="16"/>
      </w:r>
      <w:r w:rsidR="004E38F3">
        <w:rPr>
          <w:rFonts w:cs="Arial"/>
          <w:sz w:val="24"/>
          <w:szCs w:val="24"/>
        </w:rPr>
        <w:t xml:space="preserve"> Y mater</w:t>
      </w:r>
      <w:r w:rsidR="00907004" w:rsidRPr="00907004">
        <w:rPr>
          <w:rFonts w:cs="Arial"/>
          <w:sz w:val="24"/>
          <w:szCs w:val="24"/>
        </w:rPr>
        <w:t xml:space="preserve"> </w:t>
      </w:r>
      <w:r w:rsidR="002F52A9">
        <w:rPr>
          <w:rFonts w:cs="Arial"/>
          <w:sz w:val="24"/>
          <w:szCs w:val="24"/>
        </w:rPr>
        <w:t xml:space="preserve">allweddol o ran </w:t>
      </w:r>
      <w:r w:rsidR="00D33C37">
        <w:rPr>
          <w:rFonts w:cs="Arial"/>
          <w:sz w:val="24"/>
          <w:szCs w:val="24"/>
        </w:rPr>
        <w:t xml:space="preserve">hawliau dynol </w:t>
      </w:r>
      <w:r w:rsidR="002F52A9">
        <w:rPr>
          <w:rFonts w:cs="Arial"/>
          <w:sz w:val="24"/>
          <w:szCs w:val="24"/>
        </w:rPr>
        <w:t xml:space="preserve">oedd hyn – a oedd marwolaethau’r milwyr yn galw am i’r fyddin ymgymryd ag archwiliad annibynnol yn unol </w:t>
      </w:r>
      <w:r w:rsidR="00727EE4">
        <w:rPr>
          <w:rFonts w:cs="Arial"/>
          <w:sz w:val="24"/>
          <w:szCs w:val="24"/>
        </w:rPr>
        <w:t>â</w:t>
      </w:r>
      <w:r w:rsidR="002F52A9">
        <w:rPr>
          <w:rFonts w:cs="Arial"/>
          <w:sz w:val="24"/>
          <w:szCs w:val="24"/>
        </w:rPr>
        <w:t xml:space="preserve">’r </w:t>
      </w:r>
      <w:r w:rsidR="00DE2C8E">
        <w:rPr>
          <w:rFonts w:cs="Arial"/>
          <w:sz w:val="24"/>
          <w:szCs w:val="24"/>
        </w:rPr>
        <w:t>hawl i</w:t>
      </w:r>
      <w:r w:rsidR="002F52A9">
        <w:rPr>
          <w:rFonts w:cs="Arial"/>
          <w:sz w:val="24"/>
          <w:szCs w:val="24"/>
        </w:rPr>
        <w:t xml:space="preserve"> fyw dan Erthygl </w:t>
      </w:r>
      <w:r w:rsidR="00907004" w:rsidRPr="00907004">
        <w:rPr>
          <w:rFonts w:cs="Arial"/>
          <w:sz w:val="24"/>
          <w:szCs w:val="24"/>
        </w:rPr>
        <w:t>2</w:t>
      </w:r>
      <w:r w:rsidR="0034248C">
        <w:rPr>
          <w:rFonts w:cs="Arial"/>
          <w:sz w:val="24"/>
          <w:szCs w:val="24"/>
        </w:rPr>
        <w:t xml:space="preserve"> ECHR</w:t>
      </w:r>
      <w:r w:rsidR="00907004" w:rsidRPr="00907004">
        <w:rPr>
          <w:rFonts w:cs="Arial"/>
          <w:sz w:val="24"/>
          <w:szCs w:val="24"/>
        </w:rPr>
        <w:t xml:space="preserve">. </w:t>
      </w:r>
      <w:r w:rsidR="002F52A9">
        <w:rPr>
          <w:rFonts w:cs="Arial"/>
          <w:sz w:val="24"/>
          <w:szCs w:val="24"/>
        </w:rPr>
        <w:t xml:space="preserve">Mae hyn yn bwysig am </w:t>
      </w:r>
      <w:r w:rsidR="002F52A9">
        <w:rPr>
          <w:rFonts w:cs="Arial"/>
          <w:sz w:val="24"/>
          <w:szCs w:val="24"/>
        </w:rPr>
        <w:lastRenderedPageBreak/>
        <w:t xml:space="preserve">fod methiant i ymchwilio yn ddigonol i farwolaeth person lle mae </w:t>
      </w:r>
      <w:r w:rsidR="00132ED2">
        <w:rPr>
          <w:rFonts w:cs="Arial"/>
          <w:sz w:val="24"/>
          <w:szCs w:val="24"/>
        </w:rPr>
        <w:t xml:space="preserve">Llywodraeth y DU </w:t>
      </w:r>
      <w:r w:rsidR="002F52A9">
        <w:rPr>
          <w:rFonts w:cs="Arial"/>
          <w:sz w:val="24"/>
          <w:szCs w:val="24"/>
        </w:rPr>
        <w:t xml:space="preserve">yn gyfrifol </w:t>
      </w:r>
      <w:r w:rsidR="00A611F3">
        <w:rPr>
          <w:rFonts w:cs="Arial"/>
          <w:sz w:val="24"/>
          <w:szCs w:val="24"/>
        </w:rPr>
        <w:t xml:space="preserve">ynddo ei hun yn torri Erthygl </w:t>
      </w:r>
      <w:r w:rsidR="00907004" w:rsidRPr="00907004">
        <w:rPr>
          <w:rFonts w:cs="Arial"/>
          <w:sz w:val="24"/>
          <w:szCs w:val="24"/>
        </w:rPr>
        <w:t xml:space="preserve">2. </w:t>
      </w:r>
      <w:r w:rsidR="00A611F3">
        <w:rPr>
          <w:rFonts w:cs="Arial"/>
          <w:sz w:val="24"/>
          <w:szCs w:val="24"/>
        </w:rPr>
        <w:t xml:space="preserve">Roedd mwyafrif </w:t>
      </w:r>
      <w:r>
        <w:rPr>
          <w:rFonts w:cs="Arial"/>
          <w:sz w:val="24"/>
          <w:szCs w:val="24"/>
        </w:rPr>
        <w:t>y Goruchaf Lys</w:t>
      </w:r>
      <w:r w:rsidR="00A611F3">
        <w:rPr>
          <w:rFonts w:cs="Arial"/>
          <w:sz w:val="24"/>
          <w:szCs w:val="24"/>
        </w:rPr>
        <w:t xml:space="preserve"> y</w:t>
      </w:r>
      <w:r w:rsidR="00907004" w:rsidRPr="00907004">
        <w:rPr>
          <w:rFonts w:cs="Arial"/>
          <w:sz w:val="24"/>
          <w:szCs w:val="24"/>
        </w:rPr>
        <w:t xml:space="preserve">n </w:t>
      </w:r>
      <w:r w:rsidR="00907004" w:rsidRPr="00907004">
        <w:rPr>
          <w:rFonts w:cs="Arial"/>
          <w:i/>
          <w:sz w:val="24"/>
          <w:szCs w:val="24"/>
        </w:rPr>
        <w:t>Smith</w:t>
      </w:r>
      <w:r w:rsidR="00907004" w:rsidRPr="00907004">
        <w:rPr>
          <w:rFonts w:cs="Arial"/>
          <w:sz w:val="24"/>
          <w:szCs w:val="24"/>
        </w:rPr>
        <w:t xml:space="preserve"> </w:t>
      </w:r>
      <w:r w:rsidR="00727EE4">
        <w:rPr>
          <w:rFonts w:cs="Arial"/>
          <w:sz w:val="24"/>
          <w:szCs w:val="24"/>
        </w:rPr>
        <w:t xml:space="preserve">yn dal </w:t>
      </w:r>
      <w:r w:rsidR="00A611F3">
        <w:rPr>
          <w:rFonts w:cs="Arial"/>
          <w:sz w:val="24"/>
          <w:szCs w:val="24"/>
        </w:rPr>
        <w:t>y</w:t>
      </w:r>
      <w:r w:rsidR="00A611F3" w:rsidRPr="00A611F3">
        <w:rPr>
          <w:rFonts w:cs="Arial"/>
          <w:i/>
          <w:sz w:val="24"/>
          <w:szCs w:val="24"/>
        </w:rPr>
        <w:t xml:space="preserve"> gallai</w:t>
      </w:r>
      <w:r w:rsidR="00A611F3">
        <w:rPr>
          <w:rFonts w:cs="Arial"/>
          <w:sz w:val="24"/>
          <w:szCs w:val="24"/>
        </w:rPr>
        <w:t xml:space="preserve"> Erthygl </w:t>
      </w:r>
      <w:r w:rsidR="00907004" w:rsidRPr="00907004">
        <w:rPr>
          <w:rFonts w:cs="Arial"/>
          <w:sz w:val="24"/>
          <w:szCs w:val="24"/>
        </w:rPr>
        <w:t xml:space="preserve"> 2 </w:t>
      </w:r>
      <w:r w:rsidR="00A611F3">
        <w:rPr>
          <w:rFonts w:cs="Arial"/>
          <w:sz w:val="24"/>
          <w:szCs w:val="24"/>
        </w:rPr>
        <w:t>mewn egwyddor roi’r dd</w:t>
      </w:r>
      <w:r w:rsidR="00A817C1">
        <w:rPr>
          <w:rFonts w:cs="Arial"/>
          <w:sz w:val="24"/>
          <w:szCs w:val="24"/>
        </w:rPr>
        <w:t>a</w:t>
      </w:r>
      <w:r w:rsidR="00A611F3">
        <w:rPr>
          <w:rFonts w:cs="Arial"/>
          <w:sz w:val="24"/>
          <w:szCs w:val="24"/>
        </w:rPr>
        <w:t xml:space="preserve">mcaniaeth ar waith </w:t>
      </w:r>
      <w:r w:rsidR="00A817C1">
        <w:rPr>
          <w:rFonts w:cs="Arial"/>
          <w:sz w:val="24"/>
          <w:szCs w:val="24"/>
        </w:rPr>
        <w:t xml:space="preserve">yn achos marwolaeth y milwyr. Fodd bynnag, roedd y Goruchaf Lys yn ofalus iawn i bwysleisio na ddylai safonau </w:t>
      </w:r>
      <w:r w:rsidR="00D33C37">
        <w:rPr>
          <w:rFonts w:cs="Arial"/>
          <w:sz w:val="24"/>
          <w:szCs w:val="24"/>
        </w:rPr>
        <w:t xml:space="preserve">hawliau dynol </w:t>
      </w:r>
      <w:r w:rsidR="00A817C1">
        <w:rPr>
          <w:rFonts w:cs="Arial"/>
          <w:sz w:val="24"/>
          <w:szCs w:val="24"/>
        </w:rPr>
        <w:t xml:space="preserve">gael eu gosod </w:t>
      </w:r>
      <w:r w:rsidR="00727EE4">
        <w:rPr>
          <w:rFonts w:cs="Arial"/>
          <w:sz w:val="24"/>
          <w:szCs w:val="24"/>
        </w:rPr>
        <w:t xml:space="preserve">ar y lluoedd arfog yn y fath fodd </w:t>
      </w:r>
      <w:r w:rsidR="004A29A7">
        <w:rPr>
          <w:rFonts w:cs="Arial"/>
          <w:sz w:val="24"/>
          <w:szCs w:val="24"/>
        </w:rPr>
        <w:t xml:space="preserve">a allai gyfaddawdu eu heffeithiolrwydd. </w:t>
      </w:r>
      <w:r w:rsidR="00907004" w:rsidRPr="00907004">
        <w:rPr>
          <w:rStyle w:val="FootnoteReference"/>
          <w:rFonts w:cs="Arial"/>
          <w:sz w:val="24"/>
          <w:szCs w:val="24"/>
        </w:rPr>
        <w:footnoteReference w:id="17"/>
      </w:r>
    </w:p>
    <w:p w:rsidR="00A16FD0" w:rsidRPr="00A16FD0" w:rsidRDefault="004A29A7" w:rsidP="0015604F">
      <w:pPr>
        <w:pStyle w:val="Parabeforeanother"/>
        <w:numPr>
          <w:ilvl w:val="0"/>
          <w:numId w:val="10"/>
        </w:numPr>
        <w:spacing w:after="120"/>
      </w:pPr>
      <w:r>
        <w:t xml:space="preserve">Mae beirniaid penderfyniad y </w:t>
      </w:r>
      <w:r w:rsidR="003639F1">
        <w:t xml:space="preserve">Goruchaf Lys </w:t>
      </w:r>
      <w:r>
        <w:t xml:space="preserve">yn </w:t>
      </w:r>
      <w:r w:rsidR="00727EE4" w:rsidRPr="00727EE4">
        <w:rPr>
          <w:i/>
        </w:rPr>
        <w:t>Smith</w:t>
      </w:r>
      <w:r w:rsidR="00727EE4">
        <w:t xml:space="preserve"> </w:t>
      </w:r>
      <w:r w:rsidR="00345706">
        <w:t>ar yr</w:t>
      </w:r>
      <w:r w:rsidR="00727EE4">
        <w:t xml:space="preserve"> </w:t>
      </w:r>
      <w:r>
        <w:t xml:space="preserve">athrawiaeth </w:t>
      </w:r>
      <w:r w:rsidR="00345706">
        <w:t xml:space="preserve">o </w:t>
      </w:r>
      <w:r>
        <w:t xml:space="preserve">imiwnedd </w:t>
      </w:r>
      <w:r w:rsidR="001D4318">
        <w:t xml:space="preserve">brwydr wedi tynnu sylw at y nifer cynyddol o hawliadau a wneir yn erbyn y Weinyddiaeth Amddiffyn a’r </w:t>
      </w:r>
      <w:r w:rsidR="00727EE4">
        <w:t>gost g</w:t>
      </w:r>
      <w:r w:rsidR="001D4318">
        <w:t xml:space="preserve">ynyddol o setliadau a hawliadau iawndal. Roedd adroddiad yn </w:t>
      </w:r>
      <w:r w:rsidR="007D37FF">
        <w:t xml:space="preserve">2013 </w:t>
      </w:r>
      <w:r w:rsidR="001D4318">
        <w:t xml:space="preserve">gan Cyfnewid Polisi, y “think-tank” Prydeinig i’r canol o’r dde, wedi nodi bod ‘costau ymgyfreitha </w:t>
      </w:r>
      <w:r w:rsidR="00F2017E">
        <w:t xml:space="preserve">wedi codi y tu hwnt i fesur gyda chyfanswm o </w:t>
      </w:r>
      <w:r w:rsidR="00F2017E" w:rsidRPr="00A16FD0">
        <w:t xml:space="preserve">5,827 </w:t>
      </w:r>
      <w:r w:rsidR="00F2017E">
        <w:t xml:space="preserve">o hawliadau yn erbyn y Weinyddiaeth Amddiffyn yn </w:t>
      </w:r>
      <w:r w:rsidR="00A16FD0" w:rsidRPr="00A16FD0">
        <w:t>2012–2013</w:t>
      </w:r>
      <w:r w:rsidR="00F41D9E">
        <w:t>’</w:t>
      </w:r>
      <w:r w:rsidR="007D37FF">
        <w:t>.</w:t>
      </w:r>
      <w:r w:rsidR="00A16FD0" w:rsidRPr="00A16FD0">
        <w:t xml:space="preserve"> </w:t>
      </w:r>
      <w:r w:rsidR="00F2017E">
        <w:t xml:space="preserve">Nododd yr adroddiad </w:t>
      </w:r>
      <w:r w:rsidR="00345706">
        <w:t>f</w:t>
      </w:r>
      <w:r w:rsidR="00F2017E">
        <w:t xml:space="preserve">od </w:t>
      </w:r>
      <w:r w:rsidR="009C30DE">
        <w:rPr>
          <w:rFonts w:cs="Joanna MT Std"/>
          <w:color w:val="000000"/>
        </w:rPr>
        <w:t>‘</w:t>
      </w:r>
      <w:r w:rsidR="00F2017E">
        <w:t xml:space="preserve">y Weinyddiaeth Amddiffyn yn setlo achosion yn aml’ a bod </w:t>
      </w:r>
      <w:r w:rsidR="0015604F">
        <w:t>‘</w:t>
      </w:r>
      <w:r w:rsidR="00DE2C8E">
        <w:t>cyfartaledd</w:t>
      </w:r>
      <w:r w:rsidR="00F2017E">
        <w:t xml:space="preserve"> y taliadau a wnaed i’r 205 o bobl sydd wedi </w:t>
      </w:r>
      <w:r w:rsidR="009C30DE">
        <w:t xml:space="preserve">hawlio yn llwyddiannus </w:t>
      </w:r>
      <w:r w:rsidR="00F2017E">
        <w:t xml:space="preserve">wedi bod yn agos at £70,000 </w:t>
      </w:r>
      <w:r w:rsidR="00D91470">
        <w:t>gan gynnwys costau.</w:t>
      </w:r>
      <w:r w:rsidR="00A16FD0" w:rsidRPr="00A16FD0">
        <w:rPr>
          <w:rStyle w:val="FootnoteReference"/>
        </w:rPr>
        <w:footnoteReference w:id="18"/>
      </w:r>
      <w:r w:rsidR="00A16FD0" w:rsidRPr="00A16FD0">
        <w:t xml:space="preserve"> </w:t>
      </w:r>
    </w:p>
    <w:p w:rsidR="00A16FD0" w:rsidRDefault="00D91470" w:rsidP="00A16FD0">
      <w:pPr>
        <w:pStyle w:val="Parabeforeanother"/>
        <w:numPr>
          <w:ilvl w:val="0"/>
          <w:numId w:val="10"/>
        </w:numPr>
        <w:spacing w:after="120"/>
      </w:pPr>
      <w:r>
        <w:t>Y</w:t>
      </w:r>
      <w:r w:rsidR="00AA5320">
        <w:t xml:space="preserve">n 2015, </w:t>
      </w:r>
      <w:r>
        <w:t xml:space="preserve">nododd y </w:t>
      </w:r>
      <w:r w:rsidR="00E84A6F">
        <w:t>Pwyllgor</w:t>
      </w:r>
      <w:r w:rsidR="00AA5320">
        <w:t xml:space="preserve"> </w:t>
      </w:r>
      <w:r>
        <w:t xml:space="preserve">y dylai </w:t>
      </w:r>
      <w:r w:rsidR="00132ED2">
        <w:t>Llywodraeth y DU</w:t>
      </w:r>
      <w:r w:rsidR="00AA5320">
        <w:t xml:space="preserve"> </w:t>
      </w:r>
      <w:r w:rsidR="00AA5320" w:rsidRPr="0053593F">
        <w:rPr>
          <w:bCs/>
        </w:rPr>
        <w:t>‘</w:t>
      </w:r>
      <w:r>
        <w:rPr>
          <w:bCs/>
        </w:rPr>
        <w:t>ymgymryd ag ymgynghoriad gyda rhanddeiliaid ar bob lefel i geisio canfod ffyrdd i gryfhau effaith y Cyfamod ym mhob awdurdod</w:t>
      </w:r>
      <w:r w:rsidR="009C30DE">
        <w:rPr>
          <w:bCs/>
        </w:rPr>
        <w:t>aeth</w:t>
      </w:r>
      <w:r>
        <w:rPr>
          <w:bCs/>
        </w:rPr>
        <w:t xml:space="preserve"> </w:t>
      </w:r>
      <w:r w:rsidR="00345706">
        <w:rPr>
          <w:bCs/>
        </w:rPr>
        <w:t xml:space="preserve">o dan </w:t>
      </w:r>
      <w:r w:rsidR="009C30DE">
        <w:rPr>
          <w:bCs/>
        </w:rPr>
        <w:t>ei awdurdo</w:t>
      </w:r>
      <w:r w:rsidR="00345706">
        <w:rPr>
          <w:bCs/>
        </w:rPr>
        <w:t>d</w:t>
      </w:r>
      <w:r w:rsidR="009C30DE">
        <w:rPr>
          <w:bCs/>
        </w:rPr>
        <w:t xml:space="preserve"> neu </w:t>
      </w:r>
      <w:r>
        <w:rPr>
          <w:bCs/>
        </w:rPr>
        <w:t xml:space="preserve">ei reolaeth </w:t>
      </w:r>
      <w:r w:rsidR="00A35A24">
        <w:rPr>
          <w:bCs/>
        </w:rPr>
        <w:t xml:space="preserve">neu yr hyn y mae wedi </w:t>
      </w:r>
      <w:r w:rsidR="00DE2C8E">
        <w:rPr>
          <w:bCs/>
        </w:rPr>
        <w:t>ymgymryd</w:t>
      </w:r>
      <w:r w:rsidR="00A35A24">
        <w:rPr>
          <w:bCs/>
        </w:rPr>
        <w:t xml:space="preserve"> ag ef yn ffurfiol wrth weithredu’r Cyfamod</w:t>
      </w:r>
      <w:r w:rsidR="00AA5320" w:rsidRPr="0000085F">
        <w:rPr>
          <w:bCs/>
        </w:rPr>
        <w:t>’.</w:t>
      </w:r>
      <w:r w:rsidR="0098326D" w:rsidRPr="0000085F">
        <w:rPr>
          <w:rStyle w:val="FootnoteReference"/>
          <w:bCs/>
        </w:rPr>
        <w:footnoteReference w:id="19"/>
      </w:r>
      <w:r w:rsidR="00AA5320" w:rsidRPr="0000085F">
        <w:rPr>
          <w:bCs/>
        </w:rPr>
        <w:t xml:space="preserve"> </w:t>
      </w:r>
      <w:r w:rsidR="005612B7" w:rsidRPr="0000085F">
        <w:rPr>
          <w:bCs/>
        </w:rPr>
        <w:t xml:space="preserve"> </w:t>
      </w:r>
      <w:r w:rsidR="00A35A24">
        <w:rPr>
          <w:bCs/>
        </w:rPr>
        <w:t xml:space="preserve">Yn ogystal â hyn </w:t>
      </w:r>
      <w:r w:rsidR="009C30DE">
        <w:rPr>
          <w:bCs/>
        </w:rPr>
        <w:t>roedd y</w:t>
      </w:r>
      <w:r w:rsidR="00A35A24">
        <w:rPr>
          <w:bCs/>
        </w:rPr>
        <w:t xml:space="preserve"> </w:t>
      </w:r>
      <w:r w:rsidR="00E84A6F">
        <w:t>Pwyllgor</w:t>
      </w:r>
      <w:r w:rsidR="005612B7" w:rsidRPr="0000085F">
        <w:t xml:space="preserve"> </w:t>
      </w:r>
      <w:r w:rsidR="00A35A24">
        <w:t xml:space="preserve">wedi ailadrodd ei farn ‘bod yn rhaid i </w:t>
      </w:r>
      <w:r w:rsidR="00207379">
        <w:t xml:space="preserve">gynulliad y Wladwriaeth </w:t>
      </w:r>
      <w:r w:rsidR="0019662C">
        <w:t>barchu a sicrhau yr hawl</w:t>
      </w:r>
      <w:r w:rsidR="00A35A24">
        <w:t>i</w:t>
      </w:r>
      <w:r w:rsidR="0019662C">
        <w:t>a</w:t>
      </w:r>
      <w:r w:rsidR="00A35A24">
        <w:t xml:space="preserve">u a nodir yn y </w:t>
      </w:r>
      <w:r>
        <w:t xml:space="preserve">Cyfamod </w:t>
      </w:r>
      <w:r w:rsidR="0019662C">
        <w:t>i unrh</w:t>
      </w:r>
      <w:r w:rsidR="00A35A24">
        <w:t>y</w:t>
      </w:r>
      <w:r w:rsidR="0019662C">
        <w:t>w</w:t>
      </w:r>
      <w:r w:rsidR="00A35A24">
        <w:t xml:space="preserve"> un o fewn grym n</w:t>
      </w:r>
      <w:r w:rsidR="005F550B">
        <w:t xml:space="preserve">eu reolaeth effeithiol </w:t>
      </w:r>
      <w:r w:rsidR="0019662C">
        <w:t xml:space="preserve">y </w:t>
      </w:r>
      <w:r w:rsidR="00345706">
        <w:t>Parti</w:t>
      </w:r>
      <w:r w:rsidR="005F550B">
        <w:t xml:space="preserve"> </w:t>
      </w:r>
      <w:r w:rsidR="00280D33">
        <w:t xml:space="preserve">Gwladwriaeth </w:t>
      </w:r>
      <w:r w:rsidR="00A35A24">
        <w:t>hwnnw.</w:t>
      </w:r>
      <w:r w:rsidR="00CD38E2">
        <w:t>’</w:t>
      </w:r>
      <w:r w:rsidR="005612B7" w:rsidRPr="0000085F">
        <w:rPr>
          <w:rStyle w:val="FootnoteReference"/>
        </w:rPr>
        <w:footnoteReference w:id="20"/>
      </w:r>
    </w:p>
    <w:p w:rsidR="00D64119" w:rsidRPr="008A1EED" w:rsidRDefault="00207379" w:rsidP="00D64119">
      <w:pPr>
        <w:pStyle w:val="Parabeforeanother"/>
        <w:numPr>
          <w:ilvl w:val="0"/>
          <w:numId w:val="10"/>
        </w:numPr>
        <w:spacing w:after="120"/>
      </w:pPr>
      <w:r>
        <w:t xml:space="preserve">Mae’r </w:t>
      </w:r>
      <w:r w:rsidR="00D64119">
        <w:t xml:space="preserve">EHRC </w:t>
      </w:r>
      <w:r>
        <w:t xml:space="preserve">yn cytuno </w:t>
      </w:r>
      <w:r w:rsidR="00345706" w:rsidRPr="001E5322">
        <w:rPr>
          <w:rFonts w:asciiTheme="majorHAnsi" w:hAnsiTheme="majorHAnsi"/>
        </w:rPr>
        <w:t>â</w:t>
      </w:r>
      <w:r w:rsidR="00345706">
        <w:t xml:space="preserve"> </w:t>
      </w:r>
      <w:r>
        <w:t xml:space="preserve">dehongliad y </w:t>
      </w:r>
      <w:r w:rsidR="00E84A6F">
        <w:t>Pwyllgor</w:t>
      </w:r>
      <w:r>
        <w:t xml:space="preserve"> o rychwant </w:t>
      </w:r>
      <w:r w:rsidR="00485912">
        <w:t xml:space="preserve">awdurdod </w:t>
      </w:r>
      <w:r>
        <w:t xml:space="preserve">yr </w:t>
      </w:r>
      <w:r w:rsidR="00D64119" w:rsidRPr="001E7E37">
        <w:t xml:space="preserve"> </w:t>
      </w:r>
      <w:r w:rsidR="00D64119">
        <w:t>ICCPR</w:t>
      </w:r>
      <w:r w:rsidR="00CD38E2">
        <w:t>,</w:t>
      </w:r>
      <w:r w:rsidR="00D64119">
        <w:rPr>
          <w:rStyle w:val="FootnoteReference"/>
        </w:rPr>
        <w:footnoteReference w:id="21"/>
      </w:r>
      <w:r w:rsidR="00D64119" w:rsidRPr="001E7E37">
        <w:t xml:space="preserve"> </w:t>
      </w:r>
      <w:r>
        <w:t xml:space="preserve">fel y nodir yn ei Sylw Cyffredinol </w:t>
      </w:r>
      <w:r w:rsidR="00D64119" w:rsidRPr="001E7E37">
        <w:t xml:space="preserve"> </w:t>
      </w:r>
      <w:r>
        <w:t>Rhif</w:t>
      </w:r>
      <w:r w:rsidR="00D64119">
        <w:t xml:space="preserve"> 31, para 10: </w:t>
      </w:r>
      <w:r w:rsidR="00CD38E2">
        <w:t>‘</w:t>
      </w:r>
      <w:r>
        <w:t xml:space="preserve">Disgwylir i </w:t>
      </w:r>
      <w:r w:rsidR="006D05DD">
        <w:t>Bart</w:t>
      </w:r>
      <w:r w:rsidR="006D05DD" w:rsidRPr="001E5322">
        <w:rPr>
          <w:rFonts w:asciiTheme="majorHAnsi" w:hAnsiTheme="majorHAnsi"/>
        </w:rPr>
        <w:t>ï</w:t>
      </w:r>
      <w:r w:rsidR="006D05DD">
        <w:t>on</w:t>
      </w:r>
      <w:r>
        <w:t xml:space="preserve"> y Gwladwriaethau, yn ô</w:t>
      </w:r>
      <w:r w:rsidR="0019662C">
        <w:t xml:space="preserve">l erthygl </w:t>
      </w:r>
      <w:r w:rsidR="00D64119">
        <w:t xml:space="preserve"> 2, </w:t>
      </w:r>
      <w:r w:rsidR="005E32B9">
        <w:t>paragraff</w:t>
      </w:r>
      <w:r w:rsidR="00D64119">
        <w:t xml:space="preserve"> 1, </w:t>
      </w:r>
      <w:r w:rsidR="0019662C">
        <w:t xml:space="preserve">barchu a sicrhau </w:t>
      </w:r>
      <w:r w:rsidR="0019662C">
        <w:lastRenderedPageBreak/>
        <w:t xml:space="preserve">hawliau’r </w:t>
      </w:r>
      <w:r w:rsidR="00691ACB">
        <w:t xml:space="preserve">Cyfamod </w:t>
      </w:r>
      <w:r w:rsidR="0019662C">
        <w:t xml:space="preserve">i bob person a all fod oddi mewn i’w tiriogaeth ac i bob person sydd yn ddarostyngedig i’w </w:t>
      </w:r>
      <w:r w:rsidR="00280D33">
        <w:t>ha</w:t>
      </w:r>
      <w:r w:rsidR="0019662C">
        <w:t>wdurdod</w:t>
      </w:r>
      <w:r w:rsidR="00D64119">
        <w:t xml:space="preserve">. </w:t>
      </w:r>
      <w:r w:rsidR="00C00B7A">
        <w:t xml:space="preserve">Mae hyn yn golygu bod yn rhaid i </w:t>
      </w:r>
      <w:r w:rsidR="006D05DD">
        <w:t>Barti’r</w:t>
      </w:r>
      <w:r w:rsidR="00C00B7A">
        <w:t xml:space="preserve"> Wladwriaeth barchu a sicrhau yr </w:t>
      </w:r>
      <w:r w:rsidR="00DE2C8E">
        <w:t xml:space="preserve">hawliau </w:t>
      </w:r>
      <w:r w:rsidR="00C00B7A">
        <w:t xml:space="preserve">a nodir yn y </w:t>
      </w:r>
      <w:r w:rsidR="00D91470">
        <w:t xml:space="preserve">Cyfamod </w:t>
      </w:r>
      <w:r w:rsidR="00C00B7A">
        <w:t xml:space="preserve">i unrhyw un o fewn grym neu reolaeth effeithiol </w:t>
      </w:r>
      <w:r w:rsidR="006D05DD">
        <w:t>Parti’r</w:t>
      </w:r>
      <w:r w:rsidR="00C00B7A">
        <w:t xml:space="preserve"> Wladwriaeth</w:t>
      </w:r>
      <w:r w:rsidR="00D64119">
        <w:t xml:space="preserve">, </w:t>
      </w:r>
      <w:r w:rsidR="00C00B7A">
        <w:t xml:space="preserve">hyd yn oed os nad yw oddi mewn i diriogaeth </w:t>
      </w:r>
      <w:r w:rsidR="006D05DD">
        <w:t>Parti’r</w:t>
      </w:r>
      <w:r w:rsidR="0019662C">
        <w:t xml:space="preserve"> Wladwriaeth</w:t>
      </w:r>
      <w:r w:rsidR="00CD38E2">
        <w:t>’</w:t>
      </w:r>
      <w:r w:rsidR="00D64119">
        <w:t>.</w:t>
      </w:r>
      <w:r w:rsidR="00D64119">
        <w:rPr>
          <w:rStyle w:val="FootnoteReference"/>
        </w:rPr>
        <w:footnoteReference w:id="22"/>
      </w:r>
    </w:p>
    <w:p w:rsidR="003443A6" w:rsidRPr="00D60BEA" w:rsidRDefault="00C00B7A" w:rsidP="00C00B7A">
      <w:pPr>
        <w:pStyle w:val="Parabeforeanother"/>
        <w:numPr>
          <w:ilvl w:val="0"/>
          <w:numId w:val="10"/>
        </w:numPr>
        <w:spacing w:after="120"/>
      </w:pPr>
      <w:r w:rsidRPr="00C00B7A">
        <w:rPr>
          <w:b/>
        </w:rPr>
        <w:t>Argymhelliad</w:t>
      </w:r>
      <w:r w:rsidR="003443A6">
        <w:rPr>
          <w:b/>
        </w:rPr>
        <w:t xml:space="preserve">: </w:t>
      </w:r>
      <w:r w:rsidR="00DE2C8E">
        <w:rPr>
          <w:b/>
        </w:rPr>
        <w:t xml:space="preserve">Dylai’r </w:t>
      </w:r>
      <w:r w:rsidR="00E84A6F">
        <w:rPr>
          <w:b/>
        </w:rPr>
        <w:t>Pwyllgor</w:t>
      </w:r>
      <w:r w:rsidR="003443A6">
        <w:rPr>
          <w:b/>
        </w:rPr>
        <w:t xml:space="preserve"> </w:t>
      </w:r>
      <w:r>
        <w:rPr>
          <w:b/>
        </w:rPr>
        <w:t xml:space="preserve">ofyn i </w:t>
      </w:r>
      <w:r w:rsidR="00132ED2">
        <w:rPr>
          <w:b/>
        </w:rPr>
        <w:t xml:space="preserve">Llywodraeth y DU </w:t>
      </w:r>
      <w:r w:rsidR="00280D33">
        <w:rPr>
          <w:b/>
        </w:rPr>
        <w:t>egluro ei bod yn derbyn bod ei</w:t>
      </w:r>
      <w:r>
        <w:rPr>
          <w:b/>
        </w:rPr>
        <w:t xml:space="preserve"> goblygiadau mewn cyfraith rhyngwladol dan yr </w:t>
      </w:r>
      <w:r w:rsidR="003443A6">
        <w:rPr>
          <w:b/>
        </w:rPr>
        <w:t>ICCPR</w:t>
      </w:r>
      <w:r w:rsidR="003443A6" w:rsidRPr="00DE16C3">
        <w:rPr>
          <w:b/>
        </w:rPr>
        <w:t xml:space="preserve"> </w:t>
      </w:r>
      <w:r>
        <w:rPr>
          <w:b/>
        </w:rPr>
        <w:t xml:space="preserve">yn ymestyn i weithrediadau lluoedd Prydeinig dramor (oni bai </w:t>
      </w:r>
      <w:r w:rsidR="00280D33">
        <w:rPr>
          <w:b/>
        </w:rPr>
        <w:t xml:space="preserve">eu bod </w:t>
      </w:r>
      <w:r>
        <w:rPr>
          <w:b/>
        </w:rPr>
        <w:t>mewn sefyllfa</w:t>
      </w:r>
      <w:r w:rsidR="00B06E40">
        <w:rPr>
          <w:b/>
        </w:rPr>
        <w:t>o</w:t>
      </w:r>
      <w:r>
        <w:rPr>
          <w:b/>
        </w:rPr>
        <w:t>edd o frwydro uniongyrch</w:t>
      </w:r>
      <w:r w:rsidR="00420898">
        <w:rPr>
          <w:b/>
        </w:rPr>
        <w:t>ol ) ac i wladolion tramor pan fyddant dan awdurdod</w:t>
      </w:r>
      <w:r w:rsidR="006D05DD">
        <w:rPr>
          <w:b/>
        </w:rPr>
        <w:t>aeth</w:t>
      </w:r>
      <w:r w:rsidR="00420898">
        <w:rPr>
          <w:b/>
        </w:rPr>
        <w:t xml:space="preserve"> effeithiol de facto y DU</w:t>
      </w:r>
      <w:r w:rsidR="003443A6" w:rsidRPr="00DE16C3">
        <w:rPr>
          <w:b/>
        </w:rPr>
        <w:t>.</w:t>
      </w:r>
    </w:p>
    <w:p w:rsidR="00D60BEA" w:rsidRDefault="00D60BEA" w:rsidP="00D60BEA">
      <w:pPr>
        <w:pStyle w:val="Parabeforeanother"/>
        <w:spacing w:after="120"/>
        <w:ind w:left="360"/>
      </w:pPr>
    </w:p>
    <w:p w:rsidR="00D51648" w:rsidRPr="00D51648" w:rsidRDefault="002B4CEB" w:rsidP="00E0518E">
      <w:pPr>
        <w:rPr>
          <w:b/>
          <w:sz w:val="24"/>
          <w:szCs w:val="24"/>
        </w:rPr>
      </w:pPr>
      <w:r>
        <w:rPr>
          <w:b/>
          <w:sz w:val="24"/>
          <w:szCs w:val="24"/>
        </w:rPr>
        <w:t>Ym</w:t>
      </w:r>
      <w:r w:rsidR="005E2AEB">
        <w:rPr>
          <w:b/>
          <w:sz w:val="24"/>
          <w:szCs w:val="24"/>
        </w:rPr>
        <w:t xml:space="preserve">chwiliad </w:t>
      </w:r>
      <w:r>
        <w:rPr>
          <w:b/>
          <w:sz w:val="24"/>
          <w:szCs w:val="24"/>
        </w:rPr>
        <w:t>Carcharorion Tramor</w:t>
      </w:r>
    </w:p>
    <w:p w:rsidR="00D51648" w:rsidRDefault="005E2AEB" w:rsidP="00B636B9">
      <w:pPr>
        <w:pStyle w:val="Parabeforeanother"/>
        <w:numPr>
          <w:ilvl w:val="0"/>
          <w:numId w:val="10"/>
        </w:numPr>
        <w:spacing w:after="120"/>
      </w:pPr>
      <w:r>
        <w:t xml:space="preserve">Ym mis Rhagfyr </w:t>
      </w:r>
      <w:r w:rsidR="00D51648">
        <w:t xml:space="preserve">2013, </w:t>
      </w:r>
      <w:r>
        <w:t>cyhoeddodd yr Ymchwiliad Carcharorion adroddiad ar ei waith paratoadol.</w:t>
      </w:r>
      <w:r w:rsidR="00D51648">
        <w:rPr>
          <w:rStyle w:val="FootnoteReference"/>
          <w:color w:val="000000"/>
          <w:szCs w:val="22"/>
        </w:rPr>
        <w:footnoteReference w:id="23"/>
      </w:r>
      <w:r w:rsidR="00D51648">
        <w:t xml:space="preserve"> </w:t>
      </w:r>
      <w:r>
        <w:t>Ar yr un diwrnod cyhoedd</w:t>
      </w:r>
      <w:r w:rsidR="004B0DC8">
        <w:t>odd</w:t>
      </w:r>
      <w:r>
        <w:t xml:space="preserve"> </w:t>
      </w:r>
      <w:r w:rsidR="00132ED2">
        <w:t xml:space="preserve">Llywodraeth y DU </w:t>
      </w:r>
      <w:r w:rsidR="006D05DD">
        <w:t>f</w:t>
      </w:r>
      <w:r w:rsidR="004B0DC8">
        <w:t>od y Pr</w:t>
      </w:r>
      <w:r>
        <w:t xml:space="preserve">if Weinidog wedi ‘trafod a chytuno gyda Phwyllgor </w:t>
      </w:r>
      <w:r w:rsidR="004B0DC8">
        <w:t>Cudd-wybodaeth a Diogelwch y Senedd eu bod yn mynd i ymchwilio i’r them</w:t>
      </w:r>
      <w:r w:rsidR="00DE2C8E">
        <w:t>â</w:t>
      </w:r>
      <w:r w:rsidR="004B0DC8">
        <w:t xml:space="preserve">u a’r materion mae </w:t>
      </w:r>
      <w:r w:rsidR="00D51648">
        <w:t xml:space="preserve"> </w:t>
      </w:r>
      <w:r w:rsidR="004B0DC8">
        <w:t>Sy</w:t>
      </w:r>
      <w:r w:rsidR="00D51648">
        <w:t xml:space="preserve">r Peter </w:t>
      </w:r>
      <w:r w:rsidR="004B0DC8">
        <w:t>wedi eu codi, derbyn tystiolaeth bellach, ac adrodd i L</w:t>
      </w:r>
      <w:r w:rsidR="00132ED2">
        <w:t xml:space="preserve">ywodraeth y DU </w:t>
      </w:r>
      <w:r w:rsidR="004B0DC8">
        <w:t>a’r Senedd ar ganlyniad yr ymchwiliad</w:t>
      </w:r>
      <w:r w:rsidR="00D51648">
        <w:t xml:space="preserve">. </w:t>
      </w:r>
      <w:r w:rsidR="004B0DC8">
        <w:t xml:space="preserve">Rhoddir adnoddau ychwanegol i’r </w:t>
      </w:r>
      <w:r w:rsidR="00E84A6F">
        <w:t>Pwyllgor</w:t>
      </w:r>
      <w:r w:rsidR="00D51648">
        <w:t xml:space="preserve"> </w:t>
      </w:r>
      <w:r w:rsidR="004B0DC8">
        <w:t>ymgymryd â’r gwaith hwn.</w:t>
      </w:r>
      <w:r w:rsidR="00D51648">
        <w:t>’</w:t>
      </w:r>
      <w:r w:rsidR="00D51648">
        <w:rPr>
          <w:rStyle w:val="FootnoteReference"/>
          <w:color w:val="000000"/>
          <w:szCs w:val="22"/>
        </w:rPr>
        <w:footnoteReference w:id="24"/>
      </w:r>
    </w:p>
    <w:p w:rsidR="00D51648" w:rsidRDefault="004B0DC8" w:rsidP="00B636B9">
      <w:pPr>
        <w:pStyle w:val="Parabeforeanother"/>
        <w:numPr>
          <w:ilvl w:val="0"/>
          <w:numId w:val="10"/>
        </w:numPr>
        <w:spacing w:after="120"/>
      </w:pPr>
      <w:r>
        <w:t>Y</w:t>
      </w:r>
      <w:r w:rsidR="00D51648">
        <w:t xml:space="preserve">n 2015, </w:t>
      </w:r>
      <w:r>
        <w:t xml:space="preserve">nododd Pwyllgor Hawliau Dynol y Cenhedloedd Unedig eu bod yn </w:t>
      </w:r>
      <w:r w:rsidR="00D51648">
        <w:t xml:space="preserve"> ‘</w:t>
      </w:r>
      <w:r>
        <w:t xml:space="preserve">bryderus am arafwch </w:t>
      </w:r>
      <w:r w:rsidR="00AD0419">
        <w:t>y trafodion gerbron Pwyllgor Cudd-Wybodaeth</w:t>
      </w:r>
      <w:r w:rsidR="006D05DD">
        <w:t xml:space="preserve"> </w:t>
      </w:r>
      <w:r w:rsidR="004F6234">
        <w:t>a Diogelwch y Senedd</w:t>
      </w:r>
      <w:r w:rsidR="00AD0419">
        <w:t xml:space="preserve"> </w:t>
      </w:r>
      <w:r w:rsidR="00D51648">
        <w:t xml:space="preserve">(ISC) </w:t>
      </w:r>
      <w:r w:rsidR="00AD0419">
        <w:t xml:space="preserve">mewn </w:t>
      </w:r>
      <w:r w:rsidR="00DE2C8E">
        <w:t>perthynas</w:t>
      </w:r>
      <w:r w:rsidR="00AD0419">
        <w:t xml:space="preserve"> â’r Ymchwiliad Carcharorion ac hefyd digonolrwydd yr ISC fel mecanwaith ymchwilio, o ystyried y pryderon parthed ei annibyniaeth rhag  </w:t>
      </w:r>
      <w:r w:rsidR="006F4AA4">
        <w:t xml:space="preserve">y </w:t>
      </w:r>
      <w:r w:rsidR="00AD0419">
        <w:t xml:space="preserve">grym </w:t>
      </w:r>
      <w:r w:rsidR="006F4AA4">
        <w:t xml:space="preserve">gweithredol </w:t>
      </w:r>
      <w:r w:rsidR="00AD0419">
        <w:t xml:space="preserve">a grym y llywodraeth i </w:t>
      </w:r>
      <w:r w:rsidR="0070245C">
        <w:t xml:space="preserve">gadw gwybodaeth </w:t>
      </w:r>
      <w:r w:rsidR="00553EC4">
        <w:t>sensitif</w:t>
      </w:r>
      <w:r w:rsidR="0070245C">
        <w:t xml:space="preserve"> rhagddynt’. Argymhellodd y </w:t>
      </w:r>
      <w:r w:rsidR="004F6234">
        <w:t xml:space="preserve">Pwyllgor </w:t>
      </w:r>
      <w:r w:rsidR="0070245C">
        <w:t xml:space="preserve">y dylai’r </w:t>
      </w:r>
      <w:r w:rsidR="00132ED2">
        <w:t xml:space="preserve">DU </w:t>
      </w:r>
      <w:r w:rsidR="00FD20B9" w:rsidRPr="00FD20B9">
        <w:rPr>
          <w:bCs/>
        </w:rPr>
        <w:t>‘</w:t>
      </w:r>
      <w:r w:rsidR="0070245C">
        <w:rPr>
          <w:bCs/>
        </w:rPr>
        <w:t xml:space="preserve">sicrhau bod y trafodion gerbron </w:t>
      </w:r>
      <w:r w:rsidR="0070245C">
        <w:t xml:space="preserve">Pwyllgor Cudd-wybodaeth a Diogelwch y Senedd </w:t>
      </w:r>
      <w:r w:rsidR="0070245C">
        <w:rPr>
          <w:bCs/>
        </w:rPr>
        <w:t>yn unol â gofynion y Cyfamod</w:t>
      </w:r>
      <w:r w:rsidR="00FD20B9" w:rsidRPr="00FD20B9">
        <w:rPr>
          <w:bCs/>
        </w:rPr>
        <w:t xml:space="preserve">, </w:t>
      </w:r>
      <w:r w:rsidR="0070245C">
        <w:rPr>
          <w:bCs/>
        </w:rPr>
        <w:t>gan gy</w:t>
      </w:r>
      <w:r w:rsidR="00412BFC">
        <w:rPr>
          <w:bCs/>
        </w:rPr>
        <w:t>nnwys cydbwysedd digonol rhwng materion dioge</w:t>
      </w:r>
      <w:r w:rsidR="0070245C">
        <w:rPr>
          <w:bCs/>
        </w:rPr>
        <w:t>l</w:t>
      </w:r>
      <w:r w:rsidR="00412BFC">
        <w:rPr>
          <w:bCs/>
        </w:rPr>
        <w:t>w</w:t>
      </w:r>
      <w:r w:rsidR="0070245C">
        <w:rPr>
          <w:bCs/>
        </w:rPr>
        <w:t xml:space="preserve">ch a’r angen </w:t>
      </w:r>
      <w:r w:rsidR="00412BFC">
        <w:rPr>
          <w:bCs/>
        </w:rPr>
        <w:t xml:space="preserve">am </w:t>
      </w:r>
      <w:r w:rsidR="0070245C">
        <w:rPr>
          <w:bCs/>
        </w:rPr>
        <w:t xml:space="preserve">atebolrwydd parthed tarfu ar </w:t>
      </w:r>
      <w:r w:rsidR="00D33C37">
        <w:rPr>
          <w:bCs/>
        </w:rPr>
        <w:t>hawliau dynol</w:t>
      </w:r>
      <w:r w:rsidR="0070245C">
        <w:rPr>
          <w:bCs/>
        </w:rPr>
        <w:t xml:space="preserve">, ac ystyried </w:t>
      </w:r>
      <w:r w:rsidR="00412BFC">
        <w:rPr>
          <w:bCs/>
        </w:rPr>
        <w:t xml:space="preserve">cychwyn ymchwiliad barnwrol llawn ym mhob achos carcharorion perthnasol.’ </w:t>
      </w:r>
      <w:r w:rsidR="00D51648">
        <w:rPr>
          <w:rStyle w:val="FootnoteReference"/>
          <w:color w:val="000000"/>
          <w:szCs w:val="22"/>
        </w:rPr>
        <w:footnoteReference w:id="25"/>
      </w:r>
      <w:r w:rsidR="00D51648">
        <w:t xml:space="preserve"> </w:t>
      </w:r>
    </w:p>
    <w:p w:rsidR="00D51648" w:rsidRDefault="004F7707" w:rsidP="00B636B9">
      <w:pPr>
        <w:pStyle w:val="Parabeforeanother"/>
        <w:numPr>
          <w:ilvl w:val="0"/>
          <w:numId w:val="10"/>
        </w:numPr>
        <w:spacing w:after="120"/>
        <w:rPr>
          <w:spacing w:val="-1"/>
        </w:rPr>
      </w:pPr>
      <w:r>
        <w:rPr>
          <w:spacing w:val="-1"/>
        </w:rPr>
        <w:lastRenderedPageBreak/>
        <w:t xml:space="preserve">Ym mis Hydref </w:t>
      </w:r>
      <w:r w:rsidR="00D51648">
        <w:rPr>
          <w:spacing w:val="-1"/>
        </w:rPr>
        <w:t xml:space="preserve">2015, </w:t>
      </w:r>
      <w:r>
        <w:rPr>
          <w:spacing w:val="-1"/>
        </w:rPr>
        <w:t xml:space="preserve">nododd yr </w:t>
      </w:r>
      <w:r w:rsidR="00D51648">
        <w:rPr>
          <w:spacing w:val="-1"/>
        </w:rPr>
        <w:t xml:space="preserve">ISC </w:t>
      </w:r>
      <w:r w:rsidR="007149D2">
        <w:rPr>
          <w:spacing w:val="-1"/>
        </w:rPr>
        <w:t xml:space="preserve">mai </w:t>
      </w:r>
      <w:r w:rsidR="005E2AEB">
        <w:rPr>
          <w:spacing w:val="-1"/>
        </w:rPr>
        <w:t xml:space="preserve">ymchwiliad </w:t>
      </w:r>
      <w:r w:rsidR="007149D2">
        <w:rPr>
          <w:spacing w:val="-1"/>
        </w:rPr>
        <w:t xml:space="preserve">i swyddogaeth </w:t>
      </w:r>
      <w:r w:rsidR="00D51648">
        <w:rPr>
          <w:spacing w:val="-1"/>
        </w:rPr>
        <w:t xml:space="preserve"> </w:t>
      </w:r>
      <w:r w:rsidR="00132ED2">
        <w:rPr>
          <w:spacing w:val="-1"/>
        </w:rPr>
        <w:t xml:space="preserve">Llywodraeth y DU </w:t>
      </w:r>
      <w:r w:rsidR="00D51648">
        <w:rPr>
          <w:spacing w:val="-1"/>
        </w:rPr>
        <w:t xml:space="preserve"> a</w:t>
      </w:r>
      <w:r w:rsidR="007149D2">
        <w:rPr>
          <w:spacing w:val="-1"/>
        </w:rPr>
        <w:t xml:space="preserve">c asiantaethau diogelwch a chudd-wybodaeth mewn perthynas â thrin carcharorion ac </w:t>
      </w:r>
      <w:r w:rsidR="000B4DD0">
        <w:rPr>
          <w:spacing w:val="-1"/>
        </w:rPr>
        <w:t>trosgwlyddo</w:t>
      </w:r>
      <w:r w:rsidR="007149D2">
        <w:rPr>
          <w:spacing w:val="-1"/>
        </w:rPr>
        <w:t xml:space="preserve"> oedd ei ‘flaenoria</w:t>
      </w:r>
      <w:r w:rsidR="00553EC4">
        <w:rPr>
          <w:spacing w:val="-1"/>
        </w:rPr>
        <w:t>e</w:t>
      </w:r>
      <w:r w:rsidR="007149D2">
        <w:rPr>
          <w:spacing w:val="-1"/>
        </w:rPr>
        <w:t>th tymor-hwy’</w:t>
      </w:r>
      <w:r w:rsidR="00D51648">
        <w:rPr>
          <w:spacing w:val="-1"/>
        </w:rPr>
        <w:t>.</w:t>
      </w:r>
      <w:r w:rsidR="00D51648">
        <w:rPr>
          <w:rStyle w:val="FootnoteReference"/>
          <w:iCs/>
          <w:color w:val="000000"/>
          <w:spacing w:val="-1"/>
          <w:szCs w:val="22"/>
        </w:rPr>
        <w:footnoteReference w:id="26"/>
      </w:r>
      <w:r w:rsidR="00D51648">
        <w:rPr>
          <w:spacing w:val="-1"/>
          <w:sz w:val="28"/>
        </w:rPr>
        <w:t xml:space="preserve"> </w:t>
      </w:r>
      <w:r w:rsidR="007149D2" w:rsidRPr="007149D2">
        <w:rPr>
          <w:spacing w:val="-1"/>
        </w:rPr>
        <w:t>Ysgrifennodd yr</w:t>
      </w:r>
      <w:r w:rsidR="007149D2">
        <w:rPr>
          <w:spacing w:val="-1"/>
          <w:sz w:val="28"/>
        </w:rPr>
        <w:t xml:space="preserve"> </w:t>
      </w:r>
      <w:r w:rsidR="007149D2">
        <w:rPr>
          <w:spacing w:val="-1"/>
        </w:rPr>
        <w:t>EHRC a’r</w:t>
      </w:r>
      <w:r w:rsidR="00D51648">
        <w:rPr>
          <w:spacing w:val="-1"/>
        </w:rPr>
        <w:t xml:space="preserve"> NIHRC </w:t>
      </w:r>
      <w:r w:rsidR="007149D2">
        <w:rPr>
          <w:spacing w:val="-1"/>
        </w:rPr>
        <w:t xml:space="preserve">at Gadeirydd yr </w:t>
      </w:r>
      <w:r w:rsidR="00D51648">
        <w:rPr>
          <w:spacing w:val="-1"/>
        </w:rPr>
        <w:t xml:space="preserve">ISC </w:t>
      </w:r>
      <w:r w:rsidR="00B57DAF">
        <w:rPr>
          <w:spacing w:val="-1"/>
        </w:rPr>
        <w:t xml:space="preserve">yn nodi </w:t>
      </w:r>
      <w:r w:rsidR="007149D2">
        <w:rPr>
          <w:spacing w:val="-1"/>
        </w:rPr>
        <w:t xml:space="preserve">ein bod yn ystyried ei bod yn hanfodol </w:t>
      </w:r>
      <w:r w:rsidR="004F6234">
        <w:rPr>
          <w:spacing w:val="-1"/>
        </w:rPr>
        <w:t>‘</w:t>
      </w:r>
      <w:r w:rsidR="009D39A2">
        <w:rPr>
          <w:spacing w:val="-1"/>
        </w:rPr>
        <w:t>b</w:t>
      </w:r>
      <w:r w:rsidR="007149D2">
        <w:rPr>
          <w:spacing w:val="-1"/>
        </w:rPr>
        <w:t xml:space="preserve">od ymchwiliad </w:t>
      </w:r>
      <w:r w:rsidR="00397CBA">
        <w:rPr>
          <w:spacing w:val="-1"/>
        </w:rPr>
        <w:t>try</w:t>
      </w:r>
      <w:r w:rsidR="00FA4224">
        <w:rPr>
          <w:spacing w:val="-1"/>
        </w:rPr>
        <w:t>l</w:t>
      </w:r>
      <w:r w:rsidR="00397CBA">
        <w:rPr>
          <w:spacing w:val="-1"/>
        </w:rPr>
        <w:t>w</w:t>
      </w:r>
      <w:r w:rsidR="004F6234">
        <w:rPr>
          <w:spacing w:val="-1"/>
        </w:rPr>
        <w:t>yr yn cael ei gynnal mewn cyfnod b</w:t>
      </w:r>
      <w:r w:rsidR="00FA4224">
        <w:rPr>
          <w:spacing w:val="-1"/>
        </w:rPr>
        <w:t xml:space="preserve">uddiol’. Derbyniwyd ymateb ar </w:t>
      </w:r>
      <w:r w:rsidR="00D51648">
        <w:rPr>
          <w:spacing w:val="-1"/>
        </w:rPr>
        <w:t xml:space="preserve">16 </w:t>
      </w:r>
      <w:r w:rsidR="00FA4224">
        <w:rPr>
          <w:spacing w:val="-1"/>
        </w:rPr>
        <w:t xml:space="preserve">Rhagfyr </w:t>
      </w:r>
      <w:r w:rsidR="00D51648">
        <w:rPr>
          <w:spacing w:val="-1"/>
        </w:rPr>
        <w:t xml:space="preserve">2015, </w:t>
      </w:r>
      <w:r w:rsidR="00FA4224">
        <w:rPr>
          <w:spacing w:val="-1"/>
        </w:rPr>
        <w:t xml:space="preserve">yn datgan ‘tra bod y </w:t>
      </w:r>
      <w:r w:rsidR="00E84A6F">
        <w:rPr>
          <w:spacing w:val="-1"/>
        </w:rPr>
        <w:t>Pwyllgor</w:t>
      </w:r>
      <w:r w:rsidR="00D51648">
        <w:rPr>
          <w:spacing w:val="-1"/>
        </w:rPr>
        <w:t xml:space="preserve"> </w:t>
      </w:r>
      <w:r w:rsidR="00FA4224">
        <w:rPr>
          <w:spacing w:val="-1"/>
        </w:rPr>
        <w:t>yn gwneud pob ymdrech i g</w:t>
      </w:r>
      <w:r w:rsidR="00185C4F">
        <w:rPr>
          <w:spacing w:val="-1"/>
        </w:rPr>
        <w:t>yflwyno adroddiad mewn cyfnod r</w:t>
      </w:r>
      <w:r w:rsidR="00FA4224">
        <w:rPr>
          <w:spacing w:val="-1"/>
        </w:rPr>
        <w:t>h</w:t>
      </w:r>
      <w:r w:rsidR="00185C4F">
        <w:rPr>
          <w:spacing w:val="-1"/>
        </w:rPr>
        <w:t>e</w:t>
      </w:r>
      <w:r w:rsidR="00FA4224">
        <w:rPr>
          <w:spacing w:val="-1"/>
        </w:rPr>
        <w:t>symol</w:t>
      </w:r>
      <w:r w:rsidR="00185C4F">
        <w:rPr>
          <w:spacing w:val="-1"/>
        </w:rPr>
        <w:t xml:space="preserve">, ni fedrwn wneud hynny </w:t>
      </w:r>
      <w:r w:rsidR="00553EC4">
        <w:rPr>
          <w:spacing w:val="-1"/>
        </w:rPr>
        <w:t xml:space="preserve">nes ein </w:t>
      </w:r>
      <w:r w:rsidR="00185C4F">
        <w:rPr>
          <w:spacing w:val="-1"/>
        </w:rPr>
        <w:t xml:space="preserve">bod wedi ystyried yr holl dystiolaeth …mae’n well i ni gymryd ein hamser a dilyn y dystiolaeth yn hytrach na </w:t>
      </w:r>
      <w:r w:rsidR="00553EC4">
        <w:rPr>
          <w:spacing w:val="-1"/>
        </w:rPr>
        <w:t>rhuthro</w:t>
      </w:r>
      <w:r w:rsidR="00185C4F">
        <w:rPr>
          <w:spacing w:val="-1"/>
        </w:rPr>
        <w:t xml:space="preserve"> i gwrdd â therfyn amser neilltuol</w:t>
      </w:r>
      <w:r w:rsidR="00FD20B9">
        <w:rPr>
          <w:spacing w:val="-1"/>
        </w:rPr>
        <w:t>’</w:t>
      </w:r>
      <w:r w:rsidR="00D51648">
        <w:rPr>
          <w:spacing w:val="-1"/>
        </w:rPr>
        <w:t>.</w:t>
      </w:r>
    </w:p>
    <w:p w:rsidR="000E404A" w:rsidRDefault="00185C4F" w:rsidP="007063B7">
      <w:pPr>
        <w:pStyle w:val="Parabeforeanother"/>
        <w:numPr>
          <w:ilvl w:val="0"/>
          <w:numId w:val="10"/>
        </w:numPr>
        <w:spacing w:after="120"/>
        <w:rPr>
          <w:spacing w:val="-1"/>
        </w:rPr>
      </w:pPr>
      <w:r>
        <w:rPr>
          <w:spacing w:val="-1"/>
        </w:rPr>
        <w:t xml:space="preserve">Ar 9 Mehefin </w:t>
      </w:r>
      <w:r w:rsidR="000E404A">
        <w:rPr>
          <w:spacing w:val="-1"/>
        </w:rPr>
        <w:t>2016</w:t>
      </w:r>
      <w:r w:rsidR="009736A4">
        <w:rPr>
          <w:spacing w:val="-1"/>
        </w:rPr>
        <w:t>,</w:t>
      </w:r>
      <w:r w:rsidR="000E404A">
        <w:rPr>
          <w:spacing w:val="-1"/>
        </w:rPr>
        <w:t xml:space="preserve"> </w:t>
      </w:r>
      <w:r>
        <w:rPr>
          <w:spacing w:val="-1"/>
        </w:rPr>
        <w:t xml:space="preserve">cafwyd </w:t>
      </w:r>
      <w:r w:rsidR="00553EC4">
        <w:rPr>
          <w:spacing w:val="-1"/>
        </w:rPr>
        <w:t>cadarn</w:t>
      </w:r>
      <w:r>
        <w:rPr>
          <w:spacing w:val="-1"/>
        </w:rPr>
        <w:t xml:space="preserve">had gan Wasanaeth Erlyn y Goron na fyddai unrhyw erlyn ar swyddogion </w:t>
      </w:r>
      <w:r w:rsidR="00553EC4">
        <w:rPr>
          <w:spacing w:val="-1"/>
        </w:rPr>
        <w:t xml:space="preserve">diogelwch </w:t>
      </w:r>
      <w:r>
        <w:rPr>
          <w:spacing w:val="-1"/>
        </w:rPr>
        <w:t xml:space="preserve">na chudd-wybodaeth mewn perthynas ag ildiad honedig </w:t>
      </w:r>
      <w:r w:rsidR="00551AB7" w:rsidRPr="007063B7">
        <w:t>Abdel Hakim Belhaj</w:t>
      </w:r>
      <w:r>
        <w:t xml:space="preserve"> a Sami al-Saadi i Libya y</w:t>
      </w:r>
      <w:r w:rsidR="000E404A">
        <w:t>n 2004.</w:t>
      </w:r>
      <w:r w:rsidR="00C212E6">
        <w:rPr>
          <w:rStyle w:val="FootnoteReference"/>
        </w:rPr>
        <w:footnoteReference w:id="27"/>
      </w:r>
      <w:r w:rsidR="000E404A">
        <w:t xml:space="preserve"> </w:t>
      </w:r>
      <w:r w:rsidR="00397CBA">
        <w:t>Mae’r ddau achos yn rhan o ymchwiliad yr ISC</w:t>
      </w:r>
      <w:r w:rsidR="000E404A">
        <w:t>, a</w:t>
      </w:r>
      <w:r w:rsidR="00397CBA">
        <w:t xml:space="preserve">c ym marn y Comisiwn mae’r penderfyniadau hyn yn tanlinellu angen yr </w:t>
      </w:r>
      <w:r w:rsidR="005E2AEB">
        <w:t xml:space="preserve">ymchwiliad </w:t>
      </w:r>
      <w:r w:rsidR="00397CBA">
        <w:t xml:space="preserve">am adnoddau ychwanegol a </w:t>
      </w:r>
      <w:r w:rsidR="002E5361">
        <w:t xml:space="preserve">gosod </w:t>
      </w:r>
      <w:r w:rsidR="00397CBA">
        <w:t xml:space="preserve">blaenoriaeth. </w:t>
      </w:r>
    </w:p>
    <w:p w:rsidR="00D51648" w:rsidRDefault="00397CBA" w:rsidP="00B636B9">
      <w:pPr>
        <w:pStyle w:val="Parabeforenewsubsection"/>
        <w:numPr>
          <w:ilvl w:val="0"/>
          <w:numId w:val="10"/>
        </w:numPr>
        <w:spacing w:after="640"/>
        <w:rPr>
          <w:b/>
        </w:rPr>
      </w:pPr>
      <w:r>
        <w:rPr>
          <w:b/>
          <w:color w:val="000000"/>
        </w:rPr>
        <w:t>Argymhelliad</w:t>
      </w:r>
      <w:r w:rsidR="00D51648">
        <w:rPr>
          <w:b/>
          <w:color w:val="000000"/>
        </w:rPr>
        <w:t xml:space="preserve">: </w:t>
      </w:r>
      <w:r>
        <w:rPr>
          <w:b/>
          <w:color w:val="000000"/>
        </w:rPr>
        <w:t xml:space="preserve">Dylai’r </w:t>
      </w:r>
      <w:r w:rsidR="00E84A6F">
        <w:rPr>
          <w:b/>
          <w:color w:val="000000"/>
        </w:rPr>
        <w:t>Pwyllgor</w:t>
      </w:r>
      <w:r w:rsidR="00D51648">
        <w:rPr>
          <w:b/>
          <w:color w:val="000000"/>
        </w:rPr>
        <w:t xml:space="preserve"> </w:t>
      </w:r>
      <w:r>
        <w:rPr>
          <w:b/>
          <w:color w:val="000000"/>
        </w:rPr>
        <w:t>ofyn i L</w:t>
      </w:r>
      <w:r w:rsidR="00132ED2">
        <w:rPr>
          <w:b/>
          <w:color w:val="000000"/>
        </w:rPr>
        <w:t xml:space="preserve">ywodraeth y DU </w:t>
      </w:r>
      <w:r>
        <w:rPr>
          <w:b/>
          <w:color w:val="000000"/>
        </w:rPr>
        <w:t xml:space="preserve">amlinellu pa </w:t>
      </w:r>
      <w:r w:rsidR="009D39A2">
        <w:rPr>
          <w:b/>
          <w:color w:val="000000"/>
        </w:rPr>
        <w:t>gamau g</w:t>
      </w:r>
      <w:r>
        <w:rPr>
          <w:b/>
          <w:color w:val="000000"/>
        </w:rPr>
        <w:t xml:space="preserve">weithredu a wneir ganddynt i sicrhau bod yr honiadau am gyfranogaeth </w:t>
      </w:r>
      <w:r w:rsidR="00553EC4">
        <w:rPr>
          <w:b/>
          <w:color w:val="000000"/>
        </w:rPr>
        <w:t>personél</w:t>
      </w:r>
      <w:r w:rsidR="002E5361">
        <w:rPr>
          <w:b/>
          <w:color w:val="000000"/>
        </w:rPr>
        <w:t xml:space="preserve"> </w:t>
      </w:r>
      <w:r w:rsidR="00481179">
        <w:rPr>
          <w:b/>
          <w:color w:val="000000"/>
        </w:rPr>
        <w:t xml:space="preserve">lluoedd arfog, diogelwch a chudd-wybodaeth Prydeinig wrth gam-drin carcharorion a dinasyddion tramor yn cael eu harchwilio o fewn cyfnod rhesymol. Dylai nodi pa bryd fydd yr ISC yn cyflwyno adroddiad a pha adnoddau a neilltuir ar gyfer y gwaith hwn. </w:t>
      </w:r>
    </w:p>
    <w:p w:rsidR="002E5361" w:rsidRDefault="002E5361" w:rsidP="00D51648">
      <w:pPr>
        <w:pStyle w:val="Parabeforenewsubsection"/>
        <w:spacing w:after="0" w:line="240" w:lineRule="auto"/>
        <w:rPr>
          <w:b/>
        </w:rPr>
      </w:pPr>
    </w:p>
    <w:p w:rsidR="002E5361" w:rsidRDefault="002E5361" w:rsidP="00D51648">
      <w:pPr>
        <w:pStyle w:val="Parabeforenewsubsection"/>
        <w:spacing w:after="0" w:line="240" w:lineRule="auto"/>
        <w:rPr>
          <w:b/>
        </w:rPr>
      </w:pPr>
    </w:p>
    <w:p w:rsidR="002E5361" w:rsidRDefault="002E5361" w:rsidP="00D51648">
      <w:pPr>
        <w:pStyle w:val="Parabeforenewsubsection"/>
        <w:spacing w:after="0" w:line="240" w:lineRule="auto"/>
        <w:rPr>
          <w:b/>
        </w:rPr>
      </w:pPr>
    </w:p>
    <w:p w:rsidR="00D51648" w:rsidRDefault="00481179" w:rsidP="00D51648">
      <w:pPr>
        <w:pStyle w:val="Parabeforenewsubsection"/>
        <w:spacing w:after="0" w:line="240" w:lineRule="auto"/>
        <w:rPr>
          <w:b/>
        </w:rPr>
      </w:pPr>
      <w:r>
        <w:rPr>
          <w:b/>
        </w:rPr>
        <w:t>Tîm Honiadau Hanesyddol Irac</w:t>
      </w:r>
      <w:r w:rsidR="00D51648" w:rsidRPr="00D51648">
        <w:rPr>
          <w:b/>
        </w:rPr>
        <w:t xml:space="preserve"> </w:t>
      </w:r>
    </w:p>
    <w:p w:rsidR="004778B9" w:rsidRDefault="004778B9" w:rsidP="00D51648">
      <w:pPr>
        <w:pStyle w:val="Parabeforenewsubsection"/>
        <w:spacing w:after="0" w:line="240" w:lineRule="auto"/>
        <w:rPr>
          <w:b/>
        </w:rPr>
      </w:pPr>
    </w:p>
    <w:p w:rsidR="008E2EA0" w:rsidRDefault="004778B9" w:rsidP="008E2EA0">
      <w:pPr>
        <w:pStyle w:val="Parabeforeanother"/>
        <w:numPr>
          <w:ilvl w:val="0"/>
          <w:numId w:val="10"/>
        </w:numPr>
        <w:spacing w:after="120"/>
      </w:pPr>
      <w:r>
        <w:t xml:space="preserve">Dechreuodd </w:t>
      </w:r>
      <w:r w:rsidR="00481179">
        <w:t xml:space="preserve">Tîm Honiadau Hanesyddol Irac </w:t>
      </w:r>
      <w:r w:rsidR="009647AA">
        <w:t>(IHAT)</w:t>
      </w:r>
      <w:r w:rsidR="008E2EA0">
        <w:t xml:space="preserve">, </w:t>
      </w:r>
      <w:r w:rsidR="00481179">
        <w:t>sydd y</w:t>
      </w:r>
      <w:r>
        <w:t>n ymc</w:t>
      </w:r>
      <w:r w:rsidR="00481179">
        <w:t>h</w:t>
      </w:r>
      <w:r>
        <w:t>w</w:t>
      </w:r>
      <w:r w:rsidR="00481179">
        <w:t>ilio i honiadau o gamdriniaeth dinasyddion Irac</w:t>
      </w:r>
      <w:r w:rsidR="008E2EA0">
        <w:t xml:space="preserve"> </w:t>
      </w:r>
      <w:r>
        <w:t>gan luoedd arfog Prydeinig a ddygwyd i sylw’r Weinyddiaeth Amddiffyn, eu gwaith ym mis Tachwedd</w:t>
      </w:r>
      <w:r w:rsidR="008E2EA0">
        <w:t xml:space="preserve"> </w:t>
      </w:r>
      <w:r w:rsidR="008E2EA0">
        <w:lastRenderedPageBreak/>
        <w:t>2010.</w:t>
      </w:r>
      <w:r w:rsidR="008E2EA0">
        <w:rPr>
          <w:rStyle w:val="FootnoteReference"/>
        </w:rPr>
        <w:footnoteReference w:id="28"/>
      </w:r>
      <w:r>
        <w:t xml:space="preserve"> Y</w:t>
      </w:r>
      <w:r w:rsidR="008E2EA0">
        <w:t>n 2015</w:t>
      </w:r>
      <w:r w:rsidR="002223FF">
        <w:t xml:space="preserve">, nododd </w:t>
      </w:r>
      <w:r>
        <w:t xml:space="preserve">Pwyllgor Hawliau Dynol y CU </w:t>
      </w:r>
      <w:r w:rsidR="002223FF">
        <w:t>eu pryder parthed</w:t>
      </w:r>
      <w:r w:rsidR="008E2EA0">
        <w:t xml:space="preserve"> ‘</w:t>
      </w:r>
      <w:r w:rsidR="002223FF">
        <w:t xml:space="preserve">cynnydd araf Tîm Honiadau Hanesyddol Irac a’r nifer isel iawn o achosion cyfreithiol a gwblhawyd </w:t>
      </w:r>
      <w:r w:rsidR="009D39A2">
        <w:t>hyd yn hyn</w:t>
      </w:r>
      <w:r w:rsidR="002223FF">
        <w:t xml:space="preserve">’. </w:t>
      </w:r>
      <w:r w:rsidR="00553EC4">
        <w:t>Argymhellodd</w:t>
      </w:r>
      <w:r w:rsidR="002223FF">
        <w:t xml:space="preserve"> y </w:t>
      </w:r>
      <w:r w:rsidR="00E84A6F">
        <w:rPr>
          <w:szCs w:val="28"/>
        </w:rPr>
        <w:t>Pwyllgor</w:t>
      </w:r>
      <w:r w:rsidR="008E2EA0" w:rsidRPr="00BD6841">
        <w:rPr>
          <w:szCs w:val="28"/>
        </w:rPr>
        <w:t xml:space="preserve"> </w:t>
      </w:r>
      <w:r w:rsidR="002223FF">
        <w:rPr>
          <w:szCs w:val="28"/>
        </w:rPr>
        <w:t xml:space="preserve">y dylai’r </w:t>
      </w:r>
      <w:r w:rsidR="002E5361">
        <w:rPr>
          <w:szCs w:val="28"/>
        </w:rPr>
        <w:t xml:space="preserve">DU </w:t>
      </w:r>
      <w:r w:rsidR="008E2EA0" w:rsidRPr="00BD6841">
        <w:rPr>
          <w:szCs w:val="28"/>
        </w:rPr>
        <w:t>‘</w:t>
      </w:r>
      <w:r w:rsidR="002223FF">
        <w:rPr>
          <w:szCs w:val="28"/>
        </w:rPr>
        <w:t xml:space="preserve">fynd i’r afael â’r oedi eithafol yn ymchwiliad yr achosion y deliodd </w:t>
      </w:r>
      <w:r w:rsidR="002223FF">
        <w:t xml:space="preserve">Tîm Honiadau Hanesyddol Irac </w:t>
      </w:r>
      <w:r w:rsidR="002223FF">
        <w:rPr>
          <w:szCs w:val="28"/>
        </w:rPr>
        <w:t xml:space="preserve">â hwy ac ystyried sefydlu mesurau atebolrwydd mwy </w:t>
      </w:r>
      <w:r w:rsidR="008E2EA0" w:rsidRPr="00BD6841">
        <w:rPr>
          <w:szCs w:val="28"/>
        </w:rPr>
        <w:t xml:space="preserve"> </w:t>
      </w:r>
      <w:r w:rsidR="002E5361">
        <w:rPr>
          <w:szCs w:val="28"/>
        </w:rPr>
        <w:t>cadar</w:t>
      </w:r>
      <w:r w:rsidR="00294B9D">
        <w:rPr>
          <w:szCs w:val="28"/>
        </w:rPr>
        <w:t>n er mwyn sicrhau ymchwiliadau prydlon, annibynnol, diduedd ac effeithlon’</w:t>
      </w:r>
      <w:r w:rsidR="008E2EA0" w:rsidRPr="00BD6841">
        <w:rPr>
          <w:szCs w:val="28"/>
        </w:rPr>
        <w:t>.</w:t>
      </w:r>
      <w:r w:rsidR="008E2EA0" w:rsidRPr="00705FD9">
        <w:rPr>
          <w:rStyle w:val="FootnoteReference"/>
          <w:szCs w:val="22"/>
        </w:rPr>
        <w:footnoteReference w:id="29"/>
      </w:r>
    </w:p>
    <w:p w:rsidR="008E2EA0" w:rsidRPr="001169EB" w:rsidRDefault="00294B9D" w:rsidP="008E2EA0">
      <w:pPr>
        <w:pStyle w:val="Parabeforeanother"/>
        <w:numPr>
          <w:ilvl w:val="0"/>
          <w:numId w:val="10"/>
        </w:numPr>
        <w:spacing w:after="120"/>
      </w:pPr>
      <w:r>
        <w:t>Diweddarodd yr IH</w:t>
      </w:r>
      <w:r w:rsidR="008E2EA0" w:rsidRPr="0056759D">
        <w:t>AT</w:t>
      </w:r>
      <w:r>
        <w:t xml:space="preserve"> yr wybodaeth parthed eu hymchwiliadau ar eu gwefan ym mis Mai </w:t>
      </w:r>
      <w:r w:rsidR="008E2EA0" w:rsidRPr="0056759D">
        <w:t xml:space="preserve">2016, </w:t>
      </w:r>
      <w:r>
        <w:t>gan adrodd eu bod yn ymchwilio i honiadau p</w:t>
      </w:r>
      <w:r w:rsidR="002E5361">
        <w:t>ert</w:t>
      </w:r>
      <w:r w:rsidR="009D39A2">
        <w:t>h</w:t>
      </w:r>
      <w:r w:rsidR="002E5361">
        <w:t>nasol i</w:t>
      </w:r>
      <w:r>
        <w:t xml:space="preserve"> </w:t>
      </w:r>
      <w:r w:rsidR="008E2EA0" w:rsidRPr="0056759D">
        <w:t>1</w:t>
      </w:r>
      <w:r w:rsidR="009647AA">
        <w:t>,</w:t>
      </w:r>
      <w:r w:rsidR="008E2EA0" w:rsidRPr="0056759D">
        <w:t xml:space="preserve">558 </w:t>
      </w:r>
      <w:r>
        <w:t>o ddioddefwyr.</w:t>
      </w:r>
      <w:r w:rsidR="008E2EA0" w:rsidRPr="0056759D">
        <w:rPr>
          <w:rStyle w:val="FootnoteReference"/>
          <w:szCs w:val="22"/>
        </w:rPr>
        <w:footnoteReference w:id="30"/>
      </w:r>
      <w:r w:rsidR="008E2EA0" w:rsidRPr="0056759D">
        <w:t xml:space="preserve"> </w:t>
      </w:r>
      <w:r>
        <w:t>Mae’r I</w:t>
      </w:r>
      <w:r w:rsidR="008E2EA0" w:rsidRPr="0056759D">
        <w:t xml:space="preserve">HAT </w:t>
      </w:r>
      <w:r>
        <w:t>wedi cau neu</w:t>
      </w:r>
      <w:r w:rsidR="004C1AE8">
        <w:t xml:space="preserve"> yn y broses o gau ymchwiliadau </w:t>
      </w:r>
      <w:r w:rsidR="009B30B6">
        <w:t xml:space="preserve">i </w:t>
      </w:r>
      <w:r w:rsidR="008E2EA0" w:rsidRPr="0056759D">
        <w:t xml:space="preserve">59 </w:t>
      </w:r>
      <w:r w:rsidR="009B30B6">
        <w:t xml:space="preserve">honiad o ladd anghyfreithlon. Mewn 56 achos nid oedd yr honiadau o ymddygiad troseddol yn gynaliadwy. Cyfeiriwyd dau filwr at </w:t>
      </w:r>
      <w:r w:rsidR="000B4DD0">
        <w:t xml:space="preserve">y </w:t>
      </w:r>
      <w:r w:rsidR="009B30B6">
        <w:t>Cyfarwyddwr Erlyn Gwasanaethau</w:t>
      </w:r>
      <w:r w:rsidR="000B4DD0">
        <w:t xml:space="preserve"> </w:t>
      </w:r>
      <w:r w:rsidR="009B30B6">
        <w:t xml:space="preserve">i’w hystyried ar gyfer eu herlyn ond rhoddwyd terfyn ar yr achosion ar seiliau cyfreithiol ac mae un achos wedi ei gyfeirio at Heddlu’r Awyrlu ar gyfer ymchwiliad pellach. Nid yw’r </w:t>
      </w:r>
      <w:r w:rsidR="008E2EA0" w:rsidRPr="0056759D">
        <w:t xml:space="preserve">EHRC </w:t>
      </w:r>
      <w:r w:rsidR="009B30B6">
        <w:t xml:space="preserve">yn ystyried bod y cynnydd </w:t>
      </w:r>
      <w:r w:rsidR="00F94010">
        <w:t xml:space="preserve">cyfredol yn gyson â’r dyletswyddau ymchwilio prydlon dan </w:t>
      </w:r>
      <w:r w:rsidR="00A611F3">
        <w:t>Erthygl</w:t>
      </w:r>
      <w:r w:rsidR="00F94010">
        <w:t>au 2 a</w:t>
      </w:r>
      <w:r w:rsidR="008E2EA0" w:rsidRPr="0056759D">
        <w:t xml:space="preserve"> 3 </w:t>
      </w:r>
      <w:r w:rsidR="00F94010">
        <w:t xml:space="preserve">yr </w:t>
      </w:r>
      <w:r w:rsidR="008E2EA0" w:rsidRPr="0056759D">
        <w:t>ECHR.</w:t>
      </w:r>
      <w:r w:rsidR="008E2EA0" w:rsidRPr="0056759D">
        <w:rPr>
          <w:rStyle w:val="FootnoteReference"/>
          <w:szCs w:val="22"/>
        </w:rPr>
        <w:footnoteReference w:id="31"/>
      </w:r>
      <w:r w:rsidR="008E2EA0" w:rsidRPr="0056759D">
        <w:rPr>
          <w:sz w:val="28"/>
        </w:rPr>
        <w:t xml:space="preserve"> </w:t>
      </w:r>
    </w:p>
    <w:p w:rsidR="003A79C2" w:rsidRDefault="00F94010" w:rsidP="00B636B9">
      <w:pPr>
        <w:pStyle w:val="Parabeforenewsubsection"/>
        <w:numPr>
          <w:ilvl w:val="0"/>
          <w:numId w:val="10"/>
        </w:numPr>
        <w:spacing w:after="160"/>
        <w:rPr>
          <w:b/>
        </w:rPr>
      </w:pPr>
      <w:r>
        <w:rPr>
          <w:b/>
        </w:rPr>
        <w:t>Argymhelliad</w:t>
      </w:r>
      <w:r w:rsidR="00D51648">
        <w:rPr>
          <w:b/>
        </w:rPr>
        <w:t xml:space="preserve">: </w:t>
      </w:r>
      <w:r>
        <w:rPr>
          <w:b/>
        </w:rPr>
        <w:t xml:space="preserve">Dylai’r </w:t>
      </w:r>
      <w:r w:rsidR="00E84A6F">
        <w:rPr>
          <w:b/>
        </w:rPr>
        <w:t>Pwyllgor</w:t>
      </w:r>
      <w:r w:rsidR="00D51648">
        <w:rPr>
          <w:b/>
        </w:rPr>
        <w:t xml:space="preserve"> </w:t>
      </w:r>
      <w:r>
        <w:rPr>
          <w:b/>
        </w:rPr>
        <w:t>ofyn i L</w:t>
      </w:r>
      <w:r w:rsidR="00132ED2">
        <w:rPr>
          <w:b/>
        </w:rPr>
        <w:t>ywodraeth y DU</w:t>
      </w:r>
      <w:r w:rsidR="00D51648">
        <w:rPr>
          <w:b/>
        </w:rPr>
        <w:t xml:space="preserve"> </w:t>
      </w:r>
      <w:r>
        <w:rPr>
          <w:b/>
        </w:rPr>
        <w:t xml:space="preserve">amlinellu pa gamau sy’n cael eu cymryd i </w:t>
      </w:r>
      <w:r w:rsidR="004C1AE8">
        <w:rPr>
          <w:b/>
        </w:rPr>
        <w:t>sicrhau</w:t>
      </w:r>
      <w:r>
        <w:rPr>
          <w:b/>
        </w:rPr>
        <w:t xml:space="preserve"> </w:t>
      </w:r>
      <w:r w:rsidR="004C1AE8">
        <w:rPr>
          <w:b/>
        </w:rPr>
        <w:t>ymchwilio</w:t>
      </w:r>
      <w:r>
        <w:rPr>
          <w:b/>
        </w:rPr>
        <w:t xml:space="preserve"> prydlon i honiadau o arteithio yn </w:t>
      </w:r>
      <w:r w:rsidR="00481179">
        <w:rPr>
          <w:b/>
        </w:rPr>
        <w:t>Irac</w:t>
      </w:r>
      <w:r w:rsidR="00D51648">
        <w:rPr>
          <w:b/>
        </w:rPr>
        <w:t xml:space="preserve">, </w:t>
      </w:r>
      <w:r>
        <w:rPr>
          <w:b/>
        </w:rPr>
        <w:t xml:space="preserve">yn unol â’u dyletswyddau </w:t>
      </w:r>
      <w:r w:rsidR="004C1AE8">
        <w:rPr>
          <w:b/>
        </w:rPr>
        <w:t>archwiliadol</w:t>
      </w:r>
      <w:r w:rsidR="00CB257A">
        <w:rPr>
          <w:b/>
        </w:rPr>
        <w:t xml:space="preserve"> dan </w:t>
      </w:r>
      <w:r w:rsidR="00A611F3">
        <w:rPr>
          <w:b/>
        </w:rPr>
        <w:t>Erthygl</w:t>
      </w:r>
      <w:r w:rsidR="00CB257A">
        <w:rPr>
          <w:b/>
        </w:rPr>
        <w:t xml:space="preserve">au 2 a </w:t>
      </w:r>
      <w:r w:rsidR="00D51648">
        <w:rPr>
          <w:b/>
        </w:rPr>
        <w:t xml:space="preserve">3 </w:t>
      </w:r>
      <w:r w:rsidR="00CB257A">
        <w:rPr>
          <w:b/>
        </w:rPr>
        <w:t>yr ECHR, ac</w:t>
      </w:r>
      <w:r w:rsidR="00D51648">
        <w:rPr>
          <w:b/>
        </w:rPr>
        <w:t xml:space="preserve"> </w:t>
      </w:r>
      <w:r w:rsidR="00A611F3">
        <w:rPr>
          <w:b/>
        </w:rPr>
        <w:t>Erthygl</w:t>
      </w:r>
      <w:r w:rsidR="00CB257A">
        <w:rPr>
          <w:b/>
        </w:rPr>
        <w:t>au 6 a</w:t>
      </w:r>
      <w:r w:rsidR="00CC7D92">
        <w:rPr>
          <w:b/>
        </w:rPr>
        <w:t xml:space="preserve"> 7 ICCPR, a</w:t>
      </w:r>
      <w:r w:rsidR="00CB257A">
        <w:rPr>
          <w:b/>
        </w:rPr>
        <w:t xml:space="preserve">c yn unol â Sylw Cyffredinol 20 yr HRC. </w:t>
      </w:r>
    </w:p>
    <w:p w:rsidR="003A79C2" w:rsidRPr="003B0C34" w:rsidRDefault="00CB257A" w:rsidP="003A79C2">
      <w:pPr>
        <w:pStyle w:val="Parabeforenewsubsection"/>
        <w:spacing w:after="160"/>
        <w:rPr>
          <w:b/>
        </w:rPr>
      </w:pPr>
      <w:r>
        <w:rPr>
          <w:b/>
        </w:rPr>
        <w:t>Gwersyll</w:t>
      </w:r>
      <w:r w:rsidR="003A79C2" w:rsidRPr="003B0C34">
        <w:rPr>
          <w:b/>
        </w:rPr>
        <w:t xml:space="preserve"> Nama</w:t>
      </w:r>
    </w:p>
    <w:p w:rsidR="003A79C2" w:rsidRPr="003B0C34" w:rsidRDefault="00CB257A" w:rsidP="00B636B9">
      <w:pPr>
        <w:pStyle w:val="Parabeforenewsubsection"/>
        <w:numPr>
          <w:ilvl w:val="0"/>
          <w:numId w:val="10"/>
        </w:numPr>
        <w:spacing w:after="160"/>
      </w:pPr>
      <w:r>
        <w:t>Y</w:t>
      </w:r>
      <w:r w:rsidR="003A79C2" w:rsidRPr="00107D7E">
        <w:t xml:space="preserve">n 2015, </w:t>
      </w:r>
      <w:r>
        <w:t xml:space="preserve">mynegodd </w:t>
      </w:r>
      <w:r w:rsidR="004778B9">
        <w:t xml:space="preserve">Pwyllgor Hawliau Dynol y CU </w:t>
      </w:r>
      <w:r>
        <w:t xml:space="preserve">eu pryder parthed ‘diffyg gwybodaeth am ba </w:t>
      </w:r>
      <w:r w:rsidR="00294B9D">
        <w:t>ymchwiliadau</w:t>
      </w:r>
      <w:r>
        <w:t>, os o gwbl, a wnaed parthed honiadau bod person</w:t>
      </w:r>
      <w:r w:rsidR="00553EC4">
        <w:t>é</w:t>
      </w:r>
      <w:r>
        <w:t xml:space="preserve">l </w:t>
      </w:r>
      <w:r w:rsidR="004C1AE8">
        <w:t>lluoedd</w:t>
      </w:r>
      <w:r>
        <w:t xml:space="preserve"> arbennig Prydeinig wedi </w:t>
      </w:r>
      <w:r w:rsidR="004C1AE8">
        <w:t>trosglwyddo</w:t>
      </w:r>
      <w:r>
        <w:t xml:space="preserve"> carcharorion i ofal yr </w:t>
      </w:r>
      <w:r>
        <w:lastRenderedPageBreak/>
        <w:t>Unol Daleithiau yng Ngwersyll N</w:t>
      </w:r>
      <w:r w:rsidR="003A79C2" w:rsidRPr="00107D7E">
        <w:t xml:space="preserve">ama, </w:t>
      </w:r>
      <w:r>
        <w:t>carchar cyfrinachol ym Maes Awyr Rhyngwl</w:t>
      </w:r>
      <w:r w:rsidR="003A79C2" w:rsidRPr="00107D7E">
        <w:t>a</w:t>
      </w:r>
      <w:r>
        <w:t>dol Baghdad (erthyglau</w:t>
      </w:r>
      <w:r w:rsidR="003A79C2" w:rsidRPr="00107D7E">
        <w:t xml:space="preserve"> 2, 6, and 7)</w:t>
      </w:r>
      <w:r w:rsidR="00D42A30">
        <w:t>’</w:t>
      </w:r>
      <w:r w:rsidR="003A79C2" w:rsidRPr="00107D7E">
        <w:t>.</w:t>
      </w:r>
      <w:r w:rsidR="00E13AC7" w:rsidRPr="00107D7E">
        <w:t xml:space="preserve"> </w:t>
      </w:r>
      <w:r>
        <w:t xml:space="preserve">Argymhellodd y </w:t>
      </w:r>
      <w:r w:rsidR="00E84A6F">
        <w:t>Pwyllgor</w:t>
      </w:r>
      <w:r w:rsidR="00E13AC7" w:rsidRPr="00107D7E">
        <w:t xml:space="preserve"> </w:t>
      </w:r>
      <w:r w:rsidR="0069188E">
        <w:t>bod</w:t>
      </w:r>
      <w:r w:rsidR="00AA5320" w:rsidRPr="00107D7E">
        <w:t xml:space="preserve"> </w:t>
      </w:r>
      <w:r w:rsidR="0069188E">
        <w:t>Llywodraeth y DU</w:t>
      </w:r>
      <w:r w:rsidR="00AA5320" w:rsidRPr="00107D7E">
        <w:t xml:space="preserve"> ‘</w:t>
      </w:r>
      <w:r w:rsidR="0069188E">
        <w:t xml:space="preserve">yn sicrhau bod yr </w:t>
      </w:r>
      <w:r>
        <w:rPr>
          <w:bCs/>
        </w:rPr>
        <w:t xml:space="preserve">honiadau </w:t>
      </w:r>
      <w:r w:rsidR="0069188E">
        <w:rPr>
          <w:bCs/>
        </w:rPr>
        <w:t>mewn perthynas â Gwersyll</w:t>
      </w:r>
      <w:r w:rsidR="00AA5320" w:rsidRPr="00107D7E">
        <w:rPr>
          <w:bCs/>
        </w:rPr>
        <w:t xml:space="preserve"> Nama </w:t>
      </w:r>
      <w:r w:rsidR="0069188E">
        <w:rPr>
          <w:bCs/>
        </w:rPr>
        <w:t xml:space="preserve">yn cael eu </w:t>
      </w:r>
      <w:r w:rsidR="004C1AE8">
        <w:rPr>
          <w:bCs/>
        </w:rPr>
        <w:t>harchwilio</w:t>
      </w:r>
      <w:r w:rsidR="0069188E">
        <w:rPr>
          <w:bCs/>
        </w:rPr>
        <w:t xml:space="preserve"> yn drylwyr, yn annibynnol ac yn ddiduedd’</w:t>
      </w:r>
      <w:r w:rsidR="00AA5320" w:rsidRPr="00107D7E">
        <w:rPr>
          <w:bCs/>
        </w:rPr>
        <w:t>.</w:t>
      </w:r>
      <w:r w:rsidR="00734057">
        <w:rPr>
          <w:rStyle w:val="FootnoteReference"/>
          <w:bCs/>
        </w:rPr>
        <w:footnoteReference w:id="32"/>
      </w:r>
    </w:p>
    <w:p w:rsidR="00B101FA" w:rsidRDefault="0069188E" w:rsidP="00CF163E">
      <w:pPr>
        <w:pStyle w:val="Parabeforenewsubsection"/>
        <w:numPr>
          <w:ilvl w:val="0"/>
          <w:numId w:val="10"/>
        </w:numPr>
        <w:spacing w:after="160"/>
        <w:rPr>
          <w:bCs/>
        </w:rPr>
      </w:pPr>
      <w:r>
        <w:rPr>
          <w:bCs/>
        </w:rPr>
        <w:t xml:space="preserve">Nid yw’r </w:t>
      </w:r>
      <w:r w:rsidR="0024111B" w:rsidRPr="00107D7E">
        <w:rPr>
          <w:bCs/>
        </w:rPr>
        <w:t xml:space="preserve">EHRC </w:t>
      </w:r>
      <w:r>
        <w:rPr>
          <w:bCs/>
        </w:rPr>
        <w:t>wedi medru canfod unrhyw ddiweddariadau ar y mater hwn ac felly ni fedr gynnig diweddariad ar gynnydd y Pwyllgo</w:t>
      </w:r>
      <w:r w:rsidR="00FB73D3">
        <w:rPr>
          <w:bCs/>
        </w:rPr>
        <w:t xml:space="preserve">r. </w:t>
      </w:r>
    </w:p>
    <w:p w:rsidR="00B101FA" w:rsidRDefault="00B101FA">
      <w:pPr>
        <w:spacing w:after="0"/>
        <w:rPr>
          <w:rFonts w:cs="Arial"/>
          <w:bCs/>
          <w:sz w:val="24"/>
          <w:szCs w:val="24"/>
        </w:rPr>
      </w:pPr>
      <w:r>
        <w:rPr>
          <w:bCs/>
        </w:rPr>
        <w:br w:type="page"/>
      </w:r>
    </w:p>
    <w:p w:rsidR="00B101FA" w:rsidRPr="0020774B" w:rsidRDefault="00B101FA" w:rsidP="00B101FA">
      <w:pPr>
        <w:pStyle w:val="Title-chapterorange"/>
      </w:pPr>
      <w:bookmarkStart w:id="2" w:name="_Toc406140625"/>
      <w:r>
        <w:rPr>
          <w:bCs w:val="0"/>
          <w:lang w:val="cy"/>
        </w:rPr>
        <w:lastRenderedPageBreak/>
        <w:t>Cysylltiadau</w:t>
      </w:r>
      <w:bookmarkEnd w:id="2"/>
    </w:p>
    <w:p w:rsidR="00B101FA" w:rsidRPr="00C005E5" w:rsidRDefault="00B101FA" w:rsidP="00B101FA">
      <w:pPr>
        <w:pStyle w:val="Parabase"/>
        <w:rPr>
          <w:rFonts w:ascii="Arial" w:hAnsi="Arial"/>
          <w:kern w:val="28"/>
          <w:sz w:val="24"/>
        </w:rPr>
      </w:pPr>
      <w:r>
        <w:rPr>
          <w:rFonts w:ascii="Arial" w:hAnsi="Arial"/>
          <w:kern w:val="28"/>
          <w:sz w:val="24"/>
          <w:lang w:val="cy"/>
        </w:rPr>
        <w:t xml:space="preserve">Mae’r cyhoeddiad hwn a’r adnoddau cydraddoldeb a hawliau dynol cysylltiedig ar gael o wefan y Comisiwn: </w:t>
      </w:r>
      <w:hyperlink r:id="rId9" w:history="1">
        <w:r>
          <w:rPr>
            <w:rStyle w:val="Hyperlink"/>
            <w:rFonts w:ascii="Arial" w:hAnsi="Arial"/>
            <w:kern w:val="28"/>
            <w:sz w:val="24"/>
            <w:lang w:val="cy"/>
          </w:rPr>
          <w:t>www.equalityhumanrights.com</w:t>
        </w:r>
      </w:hyperlink>
      <w:r>
        <w:rPr>
          <w:rFonts w:ascii="Arial" w:hAnsi="Arial"/>
          <w:kern w:val="28"/>
          <w:sz w:val="24"/>
          <w:lang w:val="cy"/>
        </w:rPr>
        <w:t xml:space="preserve">. </w:t>
      </w:r>
    </w:p>
    <w:p w:rsidR="00B101FA" w:rsidRPr="00C005E5" w:rsidRDefault="00B101FA" w:rsidP="00B101FA">
      <w:pPr>
        <w:pStyle w:val="Parass"/>
        <w:rPr>
          <w:rFonts w:cs="Arial"/>
          <w:kern w:val="28"/>
        </w:rPr>
      </w:pPr>
      <w:r>
        <w:rPr>
          <w:rFonts w:cs="Arial"/>
          <w:kern w:val="28"/>
          <w:lang w:val="cy"/>
        </w:rPr>
        <w:t>I gael cyngor, gwybodaeth neu gyfarwyddyd am gydraddoldeb, gwahaniaethu neu faterion hawliau dynol, cysylltwch â’r Gwasanaeth Cynghori a Chefnogi Cydraddoldeb, gwasanaeth annibynnol sy’n rhad ac am ddim.</w:t>
      </w:r>
    </w:p>
    <w:p w:rsidR="00B101FA" w:rsidRPr="00C005E5" w:rsidRDefault="00B101FA" w:rsidP="00B101FA">
      <w:pPr>
        <w:pStyle w:val="Parabase"/>
        <w:rPr>
          <w:rFonts w:ascii="Arial" w:hAnsi="Arial"/>
          <w:color w:val="000000"/>
          <w:kern w:val="28"/>
          <w:sz w:val="24"/>
        </w:rPr>
      </w:pPr>
      <w:r>
        <w:rPr>
          <w:rFonts w:ascii="Arial" w:hAnsi="Arial"/>
          <w:color w:val="000000"/>
          <w:kern w:val="28"/>
          <w:sz w:val="24"/>
          <w:lang w:val="cy"/>
        </w:rPr>
        <w:t xml:space="preserve">Gwefan </w:t>
      </w:r>
      <w:r>
        <w:rPr>
          <w:rFonts w:ascii="Arial" w:hAnsi="Arial"/>
          <w:color w:val="000000"/>
          <w:kern w:val="28"/>
          <w:sz w:val="24"/>
          <w:lang w:val="cy"/>
        </w:rPr>
        <w:tab/>
      </w:r>
      <w:hyperlink r:id="rId10" w:history="1">
        <w:r>
          <w:rPr>
            <w:rStyle w:val="Hyperlink"/>
            <w:rFonts w:ascii="Arial" w:hAnsi="Arial"/>
            <w:kern w:val="28"/>
            <w:sz w:val="24"/>
            <w:lang w:val="cy"/>
          </w:rPr>
          <w:t>www.equalityadvisoryservice.com</w:t>
        </w:r>
      </w:hyperlink>
      <w:r>
        <w:rPr>
          <w:rFonts w:ascii="Arial" w:hAnsi="Arial"/>
          <w:color w:val="000000"/>
          <w:kern w:val="28"/>
          <w:sz w:val="24"/>
          <w:lang w:val="cy"/>
        </w:rPr>
        <w:t xml:space="preserve"> </w:t>
      </w:r>
    </w:p>
    <w:p w:rsidR="00B101FA" w:rsidRPr="00C005E5" w:rsidRDefault="00B101FA" w:rsidP="00B101FA">
      <w:pPr>
        <w:pStyle w:val="Parabase"/>
        <w:rPr>
          <w:rFonts w:ascii="Arial" w:hAnsi="Arial"/>
          <w:color w:val="000000"/>
          <w:kern w:val="28"/>
          <w:sz w:val="24"/>
        </w:rPr>
      </w:pPr>
      <w:r>
        <w:rPr>
          <w:rFonts w:ascii="Arial" w:hAnsi="Arial"/>
          <w:color w:val="000000"/>
          <w:kern w:val="28"/>
          <w:sz w:val="24"/>
          <w:lang w:val="cy"/>
        </w:rPr>
        <w:t xml:space="preserve">Ffôn </w:t>
      </w:r>
      <w:r>
        <w:rPr>
          <w:rFonts w:ascii="Arial" w:hAnsi="Arial"/>
          <w:color w:val="000000"/>
          <w:kern w:val="28"/>
          <w:sz w:val="24"/>
          <w:lang w:val="cy"/>
        </w:rPr>
        <w:tab/>
        <w:t xml:space="preserve">           0808 800 0082</w:t>
      </w:r>
    </w:p>
    <w:p w:rsidR="00B101FA" w:rsidRPr="00C005E5" w:rsidRDefault="00B101FA" w:rsidP="00B101FA">
      <w:pPr>
        <w:pStyle w:val="Parabase"/>
        <w:rPr>
          <w:rFonts w:ascii="Arial" w:hAnsi="Arial"/>
          <w:color w:val="000000"/>
          <w:kern w:val="28"/>
          <w:sz w:val="24"/>
        </w:rPr>
      </w:pPr>
      <w:r>
        <w:rPr>
          <w:rFonts w:ascii="Arial" w:hAnsi="Arial"/>
          <w:color w:val="000000"/>
          <w:kern w:val="28"/>
          <w:sz w:val="24"/>
          <w:lang w:val="cy"/>
        </w:rPr>
        <w:t xml:space="preserve">Ffôn testun </w:t>
      </w:r>
      <w:r>
        <w:rPr>
          <w:rFonts w:ascii="Arial" w:hAnsi="Arial"/>
          <w:color w:val="000000"/>
          <w:kern w:val="28"/>
          <w:sz w:val="24"/>
          <w:lang w:val="cy"/>
        </w:rPr>
        <w:tab/>
        <w:t>0808 800 0084</w:t>
      </w:r>
    </w:p>
    <w:p w:rsidR="00B101FA" w:rsidRPr="00C005E5" w:rsidRDefault="00B101FA" w:rsidP="00B101FA">
      <w:pPr>
        <w:pStyle w:val="Parabase"/>
        <w:spacing w:after="0"/>
        <w:rPr>
          <w:rFonts w:ascii="Arial" w:hAnsi="Arial"/>
          <w:color w:val="000000"/>
          <w:kern w:val="28"/>
          <w:sz w:val="24"/>
        </w:rPr>
      </w:pPr>
      <w:r>
        <w:rPr>
          <w:rFonts w:ascii="Arial" w:hAnsi="Arial"/>
          <w:color w:val="000000"/>
          <w:kern w:val="28"/>
          <w:sz w:val="24"/>
          <w:lang w:val="cy"/>
        </w:rPr>
        <w:t xml:space="preserve">Oriau </w:t>
      </w:r>
      <w:r>
        <w:rPr>
          <w:rFonts w:ascii="Arial" w:hAnsi="Arial"/>
          <w:color w:val="000000"/>
          <w:kern w:val="28"/>
          <w:sz w:val="24"/>
          <w:lang w:val="cy"/>
        </w:rPr>
        <w:tab/>
      </w:r>
      <w:r>
        <w:rPr>
          <w:rFonts w:ascii="Arial" w:hAnsi="Arial"/>
          <w:color w:val="000000"/>
          <w:kern w:val="28"/>
          <w:sz w:val="24"/>
          <w:lang w:val="cy"/>
        </w:rPr>
        <w:tab/>
        <w:t>09:00 hyd 20:00 (dydd Llun i ddydd Gwener)</w:t>
      </w:r>
    </w:p>
    <w:p w:rsidR="00B101FA" w:rsidRPr="00C005E5" w:rsidRDefault="00B101FA" w:rsidP="00B101FA">
      <w:pPr>
        <w:pStyle w:val="Parabase"/>
        <w:rPr>
          <w:rFonts w:ascii="Arial" w:hAnsi="Arial"/>
          <w:color w:val="000000"/>
          <w:kern w:val="28"/>
          <w:sz w:val="24"/>
        </w:rPr>
      </w:pPr>
      <w:r>
        <w:rPr>
          <w:rFonts w:ascii="Arial" w:hAnsi="Arial"/>
          <w:color w:val="000000"/>
          <w:kern w:val="28"/>
          <w:sz w:val="24"/>
          <w:lang w:val="cy"/>
        </w:rPr>
        <w:tab/>
      </w:r>
      <w:r>
        <w:rPr>
          <w:rFonts w:ascii="Arial" w:hAnsi="Arial"/>
          <w:color w:val="000000"/>
          <w:kern w:val="28"/>
          <w:sz w:val="24"/>
          <w:lang w:val="cy"/>
        </w:rPr>
        <w:tab/>
        <w:t>10:00 hyd 14:00 (dydd Sadwrn)</w:t>
      </w:r>
    </w:p>
    <w:p w:rsidR="00B101FA" w:rsidRPr="00C005E5" w:rsidRDefault="00B101FA" w:rsidP="00B101FA">
      <w:pPr>
        <w:pStyle w:val="Parabase"/>
        <w:spacing w:after="240"/>
        <w:rPr>
          <w:rFonts w:ascii="Arial" w:hAnsi="Arial"/>
          <w:color w:val="000000"/>
          <w:kern w:val="28"/>
          <w:sz w:val="24"/>
        </w:rPr>
      </w:pPr>
      <w:r>
        <w:rPr>
          <w:rFonts w:ascii="Arial" w:hAnsi="Arial"/>
          <w:color w:val="000000"/>
          <w:kern w:val="28"/>
          <w:sz w:val="24"/>
          <w:lang w:val="cy"/>
        </w:rPr>
        <w:t xml:space="preserve">Post </w:t>
      </w:r>
      <w:r>
        <w:rPr>
          <w:rFonts w:ascii="Arial" w:hAnsi="Arial"/>
          <w:color w:val="000000"/>
          <w:kern w:val="28"/>
          <w:sz w:val="24"/>
          <w:lang w:val="cy"/>
        </w:rPr>
        <w:tab/>
      </w:r>
      <w:r>
        <w:rPr>
          <w:rFonts w:ascii="Arial" w:hAnsi="Arial"/>
          <w:color w:val="000000"/>
          <w:kern w:val="28"/>
          <w:sz w:val="24"/>
          <w:lang w:val="cy"/>
        </w:rPr>
        <w:tab/>
        <w:t>RHADBOST Gwasanaeth Cynghori a Chefnogi Cydraddoldeb FPN4431</w:t>
      </w:r>
    </w:p>
    <w:p w:rsidR="00B101FA" w:rsidRPr="00C005E5" w:rsidRDefault="00B101FA" w:rsidP="00B101FA">
      <w:pPr>
        <w:pStyle w:val="Parass"/>
        <w:rPr>
          <w:rFonts w:cs="Arial"/>
          <w:kern w:val="28"/>
        </w:rPr>
      </w:pPr>
      <w:r>
        <w:rPr>
          <w:rFonts w:cs="Arial"/>
          <w:kern w:val="28"/>
          <w:lang w:val="cy"/>
        </w:rPr>
        <w:t xml:space="preserve">Rhaid cyfeirio cwestiynau a sylwadau am y cyhoeddiad hwn at: </w:t>
      </w:r>
      <w:hyperlink r:id="rId11" w:history="1">
        <w:r>
          <w:rPr>
            <w:rStyle w:val="Hyperlink"/>
            <w:rFonts w:cs="Arial"/>
            <w:kern w:val="28"/>
            <w:lang w:val="cy"/>
          </w:rPr>
          <w:t>correspondence@equalityhumanrights.com</w:t>
        </w:r>
      </w:hyperlink>
      <w:r>
        <w:rPr>
          <w:rFonts w:cs="Arial"/>
          <w:kern w:val="28"/>
          <w:lang w:val="cy"/>
        </w:rPr>
        <w:t>. Mae’r Comisiwn yn croesawu eich adborth.</w:t>
      </w:r>
    </w:p>
    <w:p w:rsidR="00B101FA" w:rsidRPr="00C005E5" w:rsidRDefault="00B101FA" w:rsidP="00B101FA">
      <w:pPr>
        <w:pStyle w:val="L4Headers"/>
        <w:rPr>
          <w:kern w:val="28"/>
        </w:rPr>
      </w:pPr>
      <w:r>
        <w:rPr>
          <w:bCs/>
          <w:kern w:val="28"/>
          <w:lang w:val="cy"/>
        </w:rPr>
        <w:t>Fformatau eraill</w:t>
      </w:r>
    </w:p>
    <w:p w:rsidR="00B101FA" w:rsidRPr="00C005E5" w:rsidRDefault="00B101FA" w:rsidP="00B101FA">
      <w:pPr>
        <w:pStyle w:val="Parasection"/>
        <w:rPr>
          <w:rFonts w:cs="Arial"/>
          <w:kern w:val="28"/>
        </w:rPr>
      </w:pPr>
      <w:r>
        <w:rPr>
          <w:rFonts w:cs="Arial"/>
          <w:kern w:val="28"/>
          <w:lang w:val="cy"/>
        </w:rPr>
        <w:t xml:space="preserve">Mae’r adroddiad hwn ar gael hefyd fel ffeil Microsoft Word o </w:t>
      </w:r>
      <w:hyperlink r:id="rId12" w:history="1">
        <w:r>
          <w:rPr>
            <w:rStyle w:val="Hyperlink"/>
            <w:rFonts w:cs="Arial"/>
            <w:kern w:val="28"/>
            <w:lang w:val="cy"/>
          </w:rPr>
          <w:t>www.equalityhumanrights.com</w:t>
        </w:r>
      </w:hyperlink>
      <w:r>
        <w:rPr>
          <w:rFonts w:cs="Arial"/>
          <w:kern w:val="28"/>
          <w:lang w:val="cy"/>
        </w:rPr>
        <w:t xml:space="preserve">. Am wybodaeth ar gael mynediad at gyhoeddiad y Comisiwn ar ffurf amgen, cysylltwch â: </w:t>
      </w:r>
      <w:hyperlink r:id="rId13" w:history="1">
        <w:r>
          <w:rPr>
            <w:rStyle w:val="Hyperlink"/>
            <w:rFonts w:cs="Arial"/>
            <w:kern w:val="28"/>
            <w:lang w:val="cy"/>
          </w:rPr>
          <w:t>correspondence@equalityhumanrights.com</w:t>
        </w:r>
      </w:hyperlink>
      <w:r>
        <w:rPr>
          <w:rStyle w:val="Hyperlink"/>
          <w:rFonts w:cs="Arial"/>
          <w:kern w:val="28"/>
          <w:lang w:val="cy"/>
        </w:rPr>
        <w:t>.</w:t>
      </w:r>
    </w:p>
    <w:p w:rsidR="00B101FA" w:rsidRPr="00C005E5" w:rsidRDefault="00B101FA" w:rsidP="00B101FA">
      <w:pPr>
        <w:pStyle w:val="Parabase"/>
        <w:rPr>
          <w:rFonts w:ascii="Arial" w:hAnsi="Arial"/>
          <w:sz w:val="24"/>
        </w:rPr>
      </w:pPr>
      <w:r>
        <w:rPr>
          <w:rFonts w:ascii="Arial" w:hAnsi="Arial"/>
          <w:sz w:val="24"/>
          <w:lang w:val="cy"/>
        </w:rPr>
        <w:t>© 2016 Comisiwn Cydraddoldeb a Hawliau Dynol</w:t>
      </w:r>
    </w:p>
    <w:p w:rsidR="00B101FA" w:rsidRPr="00C005E5" w:rsidRDefault="00B101FA" w:rsidP="00B101FA">
      <w:pPr>
        <w:pStyle w:val="Parabase"/>
        <w:rPr>
          <w:rFonts w:ascii="Arial" w:hAnsi="Arial"/>
          <w:b/>
          <w:sz w:val="24"/>
        </w:rPr>
      </w:pPr>
      <w:r>
        <w:rPr>
          <w:rFonts w:ascii="Arial" w:hAnsi="Arial"/>
          <w:sz w:val="24"/>
          <w:lang w:val="cy"/>
        </w:rPr>
        <w:t>Cyhoeddwyd Gorffennaf 2016</w:t>
      </w:r>
    </w:p>
    <w:p w:rsidR="00B101FA" w:rsidRPr="00B20FC1" w:rsidRDefault="00B101FA" w:rsidP="00B101FA">
      <w:pPr>
        <w:pStyle w:val="Numberedlistlastingroup"/>
        <w:numPr>
          <w:ilvl w:val="0"/>
          <w:numId w:val="0"/>
        </w:numPr>
        <w:ind w:left="425" w:hanging="425"/>
        <w:rPr>
          <w:b/>
        </w:rPr>
      </w:pPr>
    </w:p>
    <w:p w:rsidR="00B101FA" w:rsidRDefault="00B101FA" w:rsidP="00B101FA"/>
    <w:p w:rsidR="00561396" w:rsidRPr="003B0C34" w:rsidRDefault="00561396" w:rsidP="00B101FA">
      <w:pPr>
        <w:pStyle w:val="Parabeforenewsubsection"/>
        <w:spacing w:after="160"/>
      </w:pPr>
    </w:p>
    <w:sectPr w:rsidR="00561396" w:rsidRPr="003B0C34" w:rsidSect="00302174">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1134" w:left="1440"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910" w:rsidRDefault="007C4910" w:rsidP="00D51648">
      <w:pPr>
        <w:spacing w:after="0"/>
      </w:pPr>
      <w:r>
        <w:separator/>
      </w:r>
    </w:p>
  </w:endnote>
  <w:endnote w:type="continuationSeparator" w:id="0">
    <w:p w:rsidR="007C4910" w:rsidRDefault="007C4910" w:rsidP="00D516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Joanna MT Std">
    <w:altName w:val="Joanna MT Std"/>
    <w:panose1 w:val="00000000000000000000"/>
    <w:charset w:val="00"/>
    <w:family w:val="roman"/>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74" w:rsidRDefault="00302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053104"/>
      <w:docPartObj>
        <w:docPartGallery w:val="Page Numbers (Bottom of Page)"/>
        <w:docPartUnique/>
      </w:docPartObj>
    </w:sdtPr>
    <w:sdtEndPr>
      <w:rPr>
        <w:noProof/>
      </w:rPr>
    </w:sdtEndPr>
    <w:sdtContent>
      <w:p w:rsidR="003F708A" w:rsidRDefault="00D21095">
        <w:pPr>
          <w:pStyle w:val="Footer"/>
          <w:jc w:val="right"/>
        </w:pPr>
        <w:r>
          <w:fldChar w:fldCharType="begin"/>
        </w:r>
        <w:r w:rsidR="003F708A">
          <w:instrText xml:space="preserve"> PAGE   \* MERGEFORMAT </w:instrText>
        </w:r>
        <w:r>
          <w:fldChar w:fldCharType="separate"/>
        </w:r>
        <w:r w:rsidR="005B51ED">
          <w:rPr>
            <w:noProof/>
          </w:rPr>
          <w:t>11</w:t>
        </w:r>
        <w:r>
          <w:rPr>
            <w:noProof/>
          </w:rPr>
          <w:fldChar w:fldCharType="end"/>
        </w:r>
      </w:p>
    </w:sdtContent>
  </w:sdt>
  <w:p w:rsidR="003F708A" w:rsidRDefault="003F708A" w:rsidP="00302174">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74" w:rsidRPr="00302174" w:rsidRDefault="00302174" w:rsidP="00302174">
    <w:pPr>
      <w:pStyle w:val="Footer"/>
    </w:pPr>
    <w:r>
      <w:rPr>
        <w:noProof/>
        <w:lang w:eastAsia="en-GB"/>
      </w:rPr>
      <w:drawing>
        <wp:inline distT="0" distB="0" distL="0" distR="0">
          <wp:extent cx="2590800" cy="6263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RC WelshEnglish logo r41 g56 b53 (#29383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6606" cy="62771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910" w:rsidRDefault="007C4910" w:rsidP="00D51648">
      <w:pPr>
        <w:spacing w:after="0"/>
      </w:pPr>
      <w:r>
        <w:separator/>
      </w:r>
    </w:p>
  </w:footnote>
  <w:footnote w:type="continuationSeparator" w:id="0">
    <w:p w:rsidR="007C4910" w:rsidRDefault="007C4910" w:rsidP="00D51648">
      <w:pPr>
        <w:spacing w:after="0"/>
      </w:pPr>
      <w:r>
        <w:continuationSeparator/>
      </w:r>
    </w:p>
  </w:footnote>
  <w:footnote w:id="1">
    <w:p w:rsidR="003F708A" w:rsidRPr="00831FF7" w:rsidRDefault="003F708A" w:rsidP="001958CF">
      <w:pPr>
        <w:pStyle w:val="FootnoteText"/>
        <w:spacing w:before="40" w:after="40" w:line="276" w:lineRule="auto"/>
        <w:rPr>
          <w:rFonts w:ascii="Arial" w:hAnsi="Arial" w:cs="Arial"/>
        </w:rPr>
      </w:pPr>
      <w:r w:rsidRPr="00831FF7">
        <w:rPr>
          <w:rStyle w:val="FootnoteReference"/>
          <w:rFonts w:ascii="Arial" w:hAnsi="Arial" w:cs="Arial"/>
        </w:rPr>
        <w:footnoteRef/>
      </w:r>
      <w:r w:rsidRPr="00831FF7">
        <w:rPr>
          <w:rFonts w:ascii="Arial" w:hAnsi="Arial" w:cs="Arial"/>
        </w:rPr>
        <w:t>Pwyllgor Hawliau Dynol (2015</w:t>
      </w:r>
      <w:r w:rsidRPr="00474A46">
        <w:rPr>
          <w:rFonts w:ascii="Arial" w:hAnsi="Arial" w:cs="Arial"/>
        </w:rPr>
        <w:t xml:space="preserve"> </w:t>
      </w:r>
      <w:r w:rsidRPr="00831FF7">
        <w:rPr>
          <w:rFonts w:ascii="Arial" w:hAnsi="Arial" w:cs="Arial"/>
        </w:rPr>
        <w:t xml:space="preserve">sylwadau terfynol ar seithfed adroddiad cyfnodol Teyrnas Unedig Prydain Fawr a Gogledd Iwerddon, Dog CU. CCPR/C/GBR/CO/7. Ar gael o: </w:t>
      </w:r>
      <w:hyperlink r:id="rId1" w:history="1">
        <w:r w:rsidRPr="00831FF7">
          <w:rPr>
            <w:rStyle w:val="Hyperlink"/>
            <w:rFonts w:ascii="Arial" w:hAnsi="Arial" w:cs="Arial"/>
          </w:rPr>
          <w:t>http://tbinternet.ohchr.org/_layouts/treatybodyexternal/Download.aspx?symbolno=CCPR/C/GBR/CO/7&amp;Lang=En</w:t>
        </w:r>
      </w:hyperlink>
      <w:r w:rsidRPr="00831FF7">
        <w:rPr>
          <w:rFonts w:ascii="Arial" w:hAnsi="Arial" w:cs="Arial"/>
        </w:rPr>
        <w:t xml:space="preserve"> [</w:t>
      </w:r>
      <w:r w:rsidR="007911A8">
        <w:rPr>
          <w:rFonts w:ascii="Arial" w:hAnsi="Arial" w:cs="Arial"/>
        </w:rPr>
        <w:t xml:space="preserve">cyrchwyd:  </w:t>
      </w:r>
      <w:r w:rsidRPr="00831FF7">
        <w:rPr>
          <w:rFonts w:ascii="Arial" w:hAnsi="Arial" w:cs="Arial"/>
        </w:rPr>
        <w:t xml:space="preserve">3 Mehefin  2016]. Nododd y Pwyllgor Hawliau Dynol eu pryderon parthed: y cynnydd araf mewn gweithrediadau  gerbron Pwyllgor Cudd-Wybodaeth a Diogelwch y Senedd mewn perthynas ag Ymchwiliad Carcharorion;digonolrwydd  Pwyllgor Cudd-wybodaeth a Diogelwch y Senedd fel mecanwaith archwiliol; arafwch IHAT a’r nifer isel iawn o achosion troseddol a gwblhawyd hyd yma; a’r diffyg </w:t>
      </w:r>
      <w:r>
        <w:rPr>
          <w:rFonts w:ascii="Arial" w:hAnsi="Arial" w:cs="Arial"/>
        </w:rPr>
        <w:t xml:space="preserve">gwybodaeth </w:t>
      </w:r>
      <w:r w:rsidRPr="00831FF7">
        <w:rPr>
          <w:rFonts w:ascii="Arial" w:hAnsi="Arial" w:cs="Arial"/>
        </w:rPr>
        <w:t xml:space="preserve"> parthed pa ymchwiliadau, os o gwbl, a wnaed parthed honiadau bod </w:t>
      </w:r>
      <w:r>
        <w:rPr>
          <w:rFonts w:ascii="Arial" w:hAnsi="Arial" w:cs="Arial"/>
        </w:rPr>
        <w:t>personél lluoedd</w:t>
      </w:r>
      <w:r w:rsidRPr="00831FF7">
        <w:rPr>
          <w:rFonts w:ascii="Arial" w:hAnsi="Arial" w:cs="Arial"/>
        </w:rPr>
        <w:t xml:space="preserve"> arbennig Prydeinig wedi </w:t>
      </w:r>
      <w:r>
        <w:rPr>
          <w:rFonts w:ascii="Arial" w:hAnsi="Arial" w:cs="Arial"/>
        </w:rPr>
        <w:t>trosglwyddo</w:t>
      </w:r>
      <w:r w:rsidRPr="00831FF7">
        <w:rPr>
          <w:rFonts w:ascii="Arial" w:hAnsi="Arial" w:cs="Arial"/>
        </w:rPr>
        <w:t xml:space="preserve"> carcharorion i ofal yr Unol Daleithiau yng Ngwersyll Nam</w:t>
      </w:r>
      <w:r>
        <w:rPr>
          <w:rFonts w:ascii="Arial" w:hAnsi="Arial" w:cs="Arial"/>
        </w:rPr>
        <w:t>a.</w:t>
      </w:r>
    </w:p>
  </w:footnote>
  <w:footnote w:id="2">
    <w:p w:rsidR="003F708A" w:rsidRPr="00A16FD0" w:rsidRDefault="003F708A" w:rsidP="002D5DC6">
      <w:pPr>
        <w:pStyle w:val="FootnoteText"/>
        <w:widowControl w:val="0"/>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w:t>
      </w:r>
      <w:r>
        <w:rPr>
          <w:rFonts w:ascii="Arial" w:hAnsi="Arial" w:cs="Arial"/>
        </w:rPr>
        <w:t xml:space="preserve">Mae’r ymgynghoriad hwn wedi ei drefnu ar gyfer </w:t>
      </w:r>
      <w:r w:rsidRPr="00A16FD0">
        <w:rPr>
          <w:rFonts w:ascii="Arial" w:hAnsi="Arial" w:cs="Arial"/>
        </w:rPr>
        <w:t xml:space="preserve">2016. </w:t>
      </w:r>
      <w:r>
        <w:rPr>
          <w:rFonts w:ascii="Arial" w:hAnsi="Arial" w:cs="Arial"/>
        </w:rPr>
        <w:t>Trawsgrifiad diwygiedig o’r dystiolaeth a gymerwyd gerbron y Pwyllgor Dethol ar y Cyfansoddiad, sesiwn tystiolaeth lafar gyda’r Gwir Anrhydeddus Michael Gove, Yr Arglwydd Ganghellor ac Ysgrifennydd Gwladol Cyfiawnder, 2 Rhagfyr</w:t>
      </w:r>
      <w:r w:rsidRPr="00A16FD0">
        <w:rPr>
          <w:rFonts w:ascii="Arial" w:hAnsi="Arial" w:cs="Arial"/>
        </w:rPr>
        <w:t xml:space="preserve">. </w:t>
      </w:r>
      <w:r>
        <w:rPr>
          <w:rFonts w:ascii="Arial" w:hAnsi="Arial" w:cs="Arial"/>
        </w:rPr>
        <w:t>Ar gael o</w:t>
      </w:r>
      <w:r w:rsidRPr="00A16FD0">
        <w:rPr>
          <w:rFonts w:ascii="Arial" w:hAnsi="Arial" w:cs="Arial"/>
        </w:rPr>
        <w:t xml:space="preserve">: </w:t>
      </w:r>
      <w:hyperlink r:id="rId2" w:history="1">
        <w:r w:rsidRPr="00C70BC4">
          <w:rPr>
            <w:rStyle w:val="Hyperlink"/>
            <w:rFonts w:ascii="Arial" w:hAnsi="Arial" w:cs="Arial"/>
          </w:rPr>
          <w:t>http://www.parliament.uk/business/committee/</w:t>
        </w:r>
        <w:r w:rsidRPr="00C70BC4">
          <w:rPr>
            <w:rStyle w:val="Hyperlink"/>
          </w:rPr>
          <w:t xml:space="preserve"> </w:t>
        </w:r>
        <w:r w:rsidRPr="00C70BC4">
          <w:rPr>
            <w:rStyle w:val="Hyperlink"/>
            <w:rFonts w:ascii="Arial" w:hAnsi="Arial" w:cs="Arial"/>
          </w:rPr>
          <w:t>committees-a-z/lords-select/constitution-committee/</w:t>
        </w:r>
      </w:hyperlink>
      <w:r w:rsidRPr="00A16FD0">
        <w:rPr>
          <w:rFonts w:ascii="Arial" w:hAnsi="Arial" w:cs="Arial"/>
        </w:rPr>
        <w:t xml:space="preserve"> [</w:t>
      </w:r>
      <w:r w:rsidR="007911A8">
        <w:rPr>
          <w:rFonts w:ascii="Arial" w:hAnsi="Arial" w:cs="Arial"/>
        </w:rPr>
        <w:t xml:space="preserve">cyrchwyd:  </w:t>
      </w:r>
      <w:r w:rsidRPr="00A16FD0">
        <w:rPr>
          <w:rFonts w:ascii="Arial" w:hAnsi="Arial" w:cs="Arial"/>
        </w:rPr>
        <w:t xml:space="preserve">1 </w:t>
      </w:r>
      <w:r>
        <w:rPr>
          <w:rFonts w:ascii="Arial" w:hAnsi="Arial" w:cs="Arial"/>
        </w:rPr>
        <w:t>Chwefror</w:t>
      </w:r>
      <w:r w:rsidRPr="00A16FD0">
        <w:rPr>
          <w:rFonts w:ascii="Arial" w:hAnsi="Arial" w:cs="Arial"/>
        </w:rPr>
        <w:t xml:space="preserve"> 2016].</w:t>
      </w:r>
    </w:p>
  </w:footnote>
  <w:footnote w:id="3">
    <w:p w:rsidR="003F708A" w:rsidRPr="00A16FD0" w:rsidRDefault="003F708A" w:rsidP="002D5DC6">
      <w:pPr>
        <w:pStyle w:val="FootnoteText"/>
        <w:widowControl w:val="0"/>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w:t>
      </w:r>
      <w:r>
        <w:rPr>
          <w:rFonts w:ascii="Arial" w:hAnsi="Arial" w:cs="Arial"/>
        </w:rPr>
        <w:t xml:space="preserve">Y Prif Weinidog </w:t>
      </w:r>
      <w:r w:rsidRPr="00A16FD0">
        <w:rPr>
          <w:rFonts w:ascii="Arial" w:hAnsi="Arial" w:cs="Arial"/>
        </w:rPr>
        <w:t xml:space="preserve">David Cameron, 3 </w:t>
      </w:r>
      <w:r>
        <w:rPr>
          <w:rFonts w:ascii="Arial" w:hAnsi="Arial" w:cs="Arial"/>
        </w:rPr>
        <w:t xml:space="preserve">Chwefror </w:t>
      </w:r>
      <w:r w:rsidRPr="00A16FD0">
        <w:rPr>
          <w:rFonts w:ascii="Arial" w:hAnsi="Arial" w:cs="Arial"/>
        </w:rPr>
        <w:t xml:space="preserve">2016. </w:t>
      </w:r>
      <w:r>
        <w:rPr>
          <w:rFonts w:ascii="Arial" w:hAnsi="Arial" w:cs="Arial"/>
        </w:rPr>
        <w:t xml:space="preserve">Ar gael o: </w:t>
      </w:r>
      <w:hyperlink r:id="rId3" w:anchor="160203-0002.htm_spmin2" w:history="1">
        <w:r w:rsidRPr="00A16FD0">
          <w:rPr>
            <w:rStyle w:val="Hyperlink"/>
            <w:rFonts w:ascii="Arial" w:hAnsi="Arial" w:cs="Arial"/>
          </w:rPr>
          <w:t>http://www.publications.parliament.uk/pa/cm201516/cmhansrd/cm160203/debtext/160203-0002.htm#160203-0002.htm_spmin2</w:t>
        </w:r>
      </w:hyperlink>
      <w:r w:rsidRPr="00A16FD0">
        <w:rPr>
          <w:rFonts w:ascii="Arial" w:hAnsi="Arial" w:cs="Arial"/>
        </w:rPr>
        <w:t xml:space="preserve"> [</w:t>
      </w:r>
      <w:r w:rsidR="007911A8">
        <w:rPr>
          <w:rFonts w:ascii="Arial" w:hAnsi="Arial" w:cs="Arial"/>
        </w:rPr>
        <w:t xml:space="preserve">cyrchwyd:  </w:t>
      </w:r>
      <w:r w:rsidRPr="00A16FD0">
        <w:rPr>
          <w:rFonts w:ascii="Arial" w:hAnsi="Arial" w:cs="Arial"/>
        </w:rPr>
        <w:t xml:space="preserve">11 </w:t>
      </w:r>
      <w:r>
        <w:rPr>
          <w:rFonts w:ascii="Arial" w:hAnsi="Arial" w:cs="Arial"/>
        </w:rPr>
        <w:t xml:space="preserve">Chwefror </w:t>
      </w:r>
      <w:r w:rsidRPr="00A16FD0">
        <w:rPr>
          <w:rFonts w:ascii="Arial" w:hAnsi="Arial" w:cs="Arial"/>
        </w:rPr>
        <w:t xml:space="preserve"> 2016]. </w:t>
      </w:r>
    </w:p>
  </w:footnote>
  <w:footnote w:id="4">
    <w:p w:rsidR="003F708A" w:rsidRPr="00A16FD0" w:rsidRDefault="003F708A" w:rsidP="002D5DC6">
      <w:pPr>
        <w:pStyle w:val="type"/>
        <w:spacing w:before="40" w:beforeAutospacing="0" w:after="40" w:afterAutospacing="0" w:line="276" w:lineRule="auto"/>
        <w:rPr>
          <w:rFonts w:ascii="Arial" w:hAnsi="Arial" w:cs="Arial"/>
          <w:sz w:val="20"/>
          <w:szCs w:val="20"/>
        </w:rPr>
      </w:pPr>
      <w:r w:rsidRPr="00A16FD0">
        <w:rPr>
          <w:rStyle w:val="FootnoteReference"/>
          <w:rFonts w:ascii="Arial" w:hAnsi="Arial" w:cs="Arial"/>
          <w:sz w:val="20"/>
          <w:szCs w:val="20"/>
        </w:rPr>
        <w:footnoteRef/>
      </w:r>
      <w:r w:rsidRPr="00A16FD0">
        <w:rPr>
          <w:rFonts w:ascii="Arial" w:hAnsi="Arial" w:cs="Arial"/>
          <w:sz w:val="20"/>
          <w:szCs w:val="20"/>
        </w:rPr>
        <w:t xml:space="preserve"> Gov.uk, </w:t>
      </w:r>
      <w:r>
        <w:rPr>
          <w:rFonts w:ascii="Arial" w:hAnsi="Arial" w:cs="Arial"/>
          <w:sz w:val="20"/>
          <w:szCs w:val="20"/>
        </w:rPr>
        <w:t>Araith</w:t>
      </w:r>
      <w:r w:rsidRPr="00A16FD0">
        <w:rPr>
          <w:rFonts w:ascii="Arial" w:hAnsi="Arial" w:cs="Arial"/>
          <w:sz w:val="20"/>
          <w:szCs w:val="20"/>
        </w:rPr>
        <w:t>,</w:t>
      </w:r>
      <w:r>
        <w:rPr>
          <w:rFonts w:ascii="Arial" w:hAnsi="Arial" w:cs="Arial"/>
          <w:sz w:val="20"/>
          <w:szCs w:val="20"/>
        </w:rPr>
        <w:t xml:space="preserve">Araith y Frenhines </w:t>
      </w:r>
      <w:r w:rsidRPr="00A16FD0">
        <w:rPr>
          <w:rFonts w:ascii="Arial" w:hAnsi="Arial" w:cs="Arial"/>
          <w:sz w:val="20"/>
          <w:szCs w:val="20"/>
        </w:rPr>
        <w:t xml:space="preserve">2016, </w:t>
      </w:r>
      <w:r>
        <w:rPr>
          <w:rFonts w:ascii="Arial" w:hAnsi="Arial" w:cs="Arial"/>
          <w:sz w:val="20"/>
          <w:szCs w:val="20"/>
        </w:rPr>
        <w:t>cyflwynwyd 18 Mai</w:t>
      </w:r>
      <w:r w:rsidRPr="00A16FD0">
        <w:rPr>
          <w:rFonts w:ascii="Arial" w:hAnsi="Arial" w:cs="Arial"/>
          <w:sz w:val="20"/>
          <w:szCs w:val="20"/>
        </w:rPr>
        <w:t xml:space="preserve"> 2016. </w:t>
      </w:r>
      <w:r>
        <w:rPr>
          <w:rFonts w:ascii="Arial" w:hAnsi="Arial" w:cs="Arial"/>
          <w:sz w:val="20"/>
          <w:szCs w:val="20"/>
        </w:rPr>
        <w:t xml:space="preserve">Ar gael o: </w:t>
      </w:r>
      <w:hyperlink r:id="rId4" w:history="1">
        <w:r w:rsidRPr="00A16FD0">
          <w:rPr>
            <w:rStyle w:val="Hyperlink"/>
            <w:rFonts w:ascii="Arial" w:hAnsi="Arial" w:cs="Arial"/>
            <w:sz w:val="20"/>
            <w:szCs w:val="20"/>
          </w:rPr>
          <w:t>https://www.gov.uk/government/speeches/queens-speech-2016</w:t>
        </w:r>
      </w:hyperlink>
      <w:r w:rsidRPr="00A16FD0">
        <w:rPr>
          <w:rFonts w:ascii="Arial" w:hAnsi="Arial" w:cs="Arial"/>
          <w:sz w:val="20"/>
          <w:szCs w:val="20"/>
        </w:rPr>
        <w:t xml:space="preserve"> </w:t>
      </w:r>
      <w:r w:rsidRPr="00A16FD0">
        <w:rPr>
          <w:rFonts w:ascii="Arial" w:hAnsi="Arial" w:cs="Arial"/>
          <w:color w:val="000000"/>
          <w:sz w:val="20"/>
          <w:szCs w:val="20"/>
        </w:rPr>
        <w:t>[</w:t>
      </w:r>
      <w:r w:rsidR="007911A8" w:rsidRPr="007911A8">
        <w:rPr>
          <w:rFonts w:ascii="Arial" w:hAnsi="Arial" w:cs="Arial"/>
          <w:sz w:val="20"/>
          <w:szCs w:val="20"/>
        </w:rPr>
        <w:t>cyrchwyd:</w:t>
      </w:r>
      <w:r w:rsidR="007911A8">
        <w:rPr>
          <w:rFonts w:ascii="Arial" w:hAnsi="Arial" w:cs="Arial"/>
        </w:rPr>
        <w:t xml:space="preserve">  </w:t>
      </w:r>
      <w:r w:rsidRPr="00A16FD0">
        <w:rPr>
          <w:rFonts w:ascii="Arial" w:hAnsi="Arial" w:cs="Arial"/>
          <w:color w:val="000000"/>
          <w:sz w:val="20"/>
          <w:szCs w:val="20"/>
        </w:rPr>
        <w:t xml:space="preserve">18 </w:t>
      </w:r>
      <w:r>
        <w:rPr>
          <w:rFonts w:ascii="Arial" w:hAnsi="Arial" w:cs="Arial"/>
          <w:color w:val="000000"/>
          <w:sz w:val="20"/>
          <w:szCs w:val="20"/>
        </w:rPr>
        <w:t>Mai</w:t>
      </w:r>
      <w:r w:rsidRPr="00A16FD0">
        <w:rPr>
          <w:rFonts w:ascii="Arial" w:hAnsi="Arial" w:cs="Arial"/>
          <w:color w:val="000000"/>
          <w:sz w:val="20"/>
          <w:szCs w:val="20"/>
        </w:rPr>
        <w:t xml:space="preserve"> 2016].</w:t>
      </w:r>
    </w:p>
  </w:footnote>
  <w:footnote w:id="5">
    <w:p w:rsidR="003F708A" w:rsidRPr="00A16FD0" w:rsidRDefault="003F708A" w:rsidP="002D5DC6">
      <w:pPr>
        <w:pStyle w:val="FootnoteText"/>
        <w:widowControl w:val="0"/>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w:t>
      </w:r>
      <w:r w:rsidRPr="00A16FD0">
        <w:rPr>
          <w:rFonts w:ascii="Arial" w:hAnsi="Arial" w:cs="Arial"/>
          <w:bCs/>
        </w:rPr>
        <w:t xml:space="preserve">EHRC, </w:t>
      </w:r>
      <w:r>
        <w:rPr>
          <w:rFonts w:ascii="Arial" w:hAnsi="Arial" w:cs="Arial"/>
          <w:bCs/>
        </w:rPr>
        <w:t>Datganiad</w:t>
      </w:r>
      <w:r w:rsidRPr="00A16FD0">
        <w:rPr>
          <w:rFonts w:ascii="Arial" w:hAnsi="Arial" w:cs="Arial"/>
          <w:bCs/>
        </w:rPr>
        <w:t xml:space="preserve"> </w:t>
      </w:r>
      <w:r>
        <w:rPr>
          <w:rFonts w:ascii="Arial" w:hAnsi="Arial" w:cs="Arial"/>
          <w:bCs/>
        </w:rPr>
        <w:t xml:space="preserve">ar weithredu’r </w:t>
      </w:r>
      <w:r w:rsidRPr="00A16FD0">
        <w:rPr>
          <w:rFonts w:ascii="Arial" w:hAnsi="Arial" w:cs="Arial"/>
          <w:bCs/>
        </w:rPr>
        <w:t xml:space="preserve"> </w:t>
      </w:r>
      <w:r>
        <w:rPr>
          <w:rFonts w:ascii="Arial" w:hAnsi="Arial" w:cs="Arial"/>
          <w:bCs/>
        </w:rPr>
        <w:t xml:space="preserve">DU o’r  Cyfamod Rhyngwladol ar Hawliau Sifil a Gwleidyddol, </w:t>
      </w:r>
      <w:r w:rsidRPr="00A16FD0">
        <w:rPr>
          <w:rFonts w:ascii="Arial" w:hAnsi="Arial" w:cs="Arial"/>
          <w:bCs/>
        </w:rPr>
        <w:t xml:space="preserve">  </w:t>
      </w:r>
      <w:r>
        <w:rPr>
          <w:rFonts w:ascii="Arial" w:hAnsi="Arial" w:cs="Arial"/>
          <w:bCs/>
        </w:rPr>
        <w:t>Mehefin</w:t>
      </w:r>
      <w:r w:rsidRPr="00A16FD0">
        <w:rPr>
          <w:rFonts w:ascii="Arial" w:hAnsi="Arial" w:cs="Arial"/>
          <w:bCs/>
        </w:rPr>
        <w:t xml:space="preserve"> 2015. </w:t>
      </w:r>
      <w:r>
        <w:rPr>
          <w:rFonts w:ascii="Arial" w:hAnsi="Arial" w:cs="Arial"/>
          <w:bCs/>
        </w:rPr>
        <w:t xml:space="preserve">Ar gael o: </w:t>
      </w:r>
      <w:hyperlink r:id="rId5" w:history="1">
        <w:r w:rsidR="00446A1E" w:rsidRPr="00C70BC4">
          <w:rPr>
            <w:rStyle w:val="Hyperlink"/>
            <w:rFonts w:ascii="Arial" w:hAnsi="Arial" w:cs="Arial"/>
          </w:rPr>
          <w:t>http://www.cydraddoldebhumanrights.com/about-us/our-work/human-rights/international-framework/international-covenant -civil-and-political-rights</w:t>
        </w:r>
      </w:hyperlink>
      <w:r w:rsidRPr="00A16FD0">
        <w:rPr>
          <w:rFonts w:ascii="Arial" w:hAnsi="Arial" w:cs="Arial"/>
          <w:bCs/>
        </w:rPr>
        <w:t xml:space="preserve"> [</w:t>
      </w:r>
      <w:r w:rsidR="007911A8">
        <w:rPr>
          <w:rFonts w:ascii="Arial" w:hAnsi="Arial" w:cs="Arial"/>
        </w:rPr>
        <w:t xml:space="preserve">cyrchwyd:  </w:t>
      </w:r>
      <w:r w:rsidRPr="00A16FD0">
        <w:rPr>
          <w:rFonts w:ascii="Arial" w:hAnsi="Arial" w:cs="Arial"/>
          <w:bCs/>
        </w:rPr>
        <w:t xml:space="preserve">1 </w:t>
      </w:r>
      <w:r>
        <w:rPr>
          <w:rFonts w:ascii="Arial" w:hAnsi="Arial" w:cs="Arial"/>
          <w:bCs/>
        </w:rPr>
        <w:t xml:space="preserve">Chwefror </w:t>
      </w:r>
      <w:r w:rsidRPr="00A16FD0">
        <w:rPr>
          <w:rFonts w:ascii="Arial" w:hAnsi="Arial" w:cs="Arial"/>
          <w:bCs/>
        </w:rPr>
        <w:t xml:space="preserve"> 2016].</w:t>
      </w:r>
    </w:p>
  </w:footnote>
  <w:footnote w:id="6">
    <w:p w:rsidR="003F708A" w:rsidRPr="00A16FD0" w:rsidRDefault="003F708A" w:rsidP="002D5DC6">
      <w:pPr>
        <w:pStyle w:val="FootnoteText"/>
        <w:widowControl w:val="0"/>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EHRC, </w:t>
      </w:r>
      <w:r>
        <w:rPr>
          <w:rFonts w:ascii="Arial" w:hAnsi="Arial" w:cs="Arial"/>
        </w:rPr>
        <w:t>Newidiadau i’r fframwaith/ hawliau dynol,</w:t>
      </w:r>
      <w:r w:rsidRPr="00A16FD0">
        <w:rPr>
          <w:rFonts w:ascii="Arial" w:hAnsi="Arial" w:cs="Arial"/>
        </w:rPr>
        <w:t xml:space="preserve"> 19 </w:t>
      </w:r>
      <w:r>
        <w:rPr>
          <w:rFonts w:ascii="Arial" w:hAnsi="Arial" w:cs="Arial"/>
        </w:rPr>
        <w:t xml:space="preserve">Chwefror </w:t>
      </w:r>
      <w:r w:rsidRPr="00A16FD0">
        <w:rPr>
          <w:rFonts w:ascii="Arial" w:hAnsi="Arial" w:cs="Arial"/>
        </w:rPr>
        <w:t xml:space="preserve"> 2016. </w:t>
      </w:r>
      <w:r>
        <w:rPr>
          <w:rFonts w:ascii="Arial" w:hAnsi="Arial" w:cs="Arial"/>
        </w:rPr>
        <w:t xml:space="preserve">Ar gael o: </w:t>
      </w:r>
      <w:hyperlink r:id="rId6" w:history="1">
        <w:r w:rsidR="00446A1E" w:rsidRPr="00C70BC4">
          <w:rPr>
            <w:rStyle w:val="Hyperlink"/>
            <w:rFonts w:ascii="Arial" w:hAnsi="Arial" w:cs="Arial"/>
          </w:rPr>
          <w:t>http://www.equalityhumanrights.com/your-rights/human-rights/changes-human-rights-framework</w:t>
        </w:r>
      </w:hyperlink>
      <w:r w:rsidR="00446A1E">
        <w:rPr>
          <w:rFonts w:ascii="Arial" w:hAnsi="Arial" w:cs="Arial"/>
        </w:rPr>
        <w:t xml:space="preserve"> </w:t>
      </w:r>
      <w:r w:rsidRPr="00A16FD0">
        <w:rPr>
          <w:rFonts w:ascii="Arial" w:hAnsi="Arial" w:cs="Arial"/>
          <w:bCs/>
        </w:rPr>
        <w:t>[</w:t>
      </w:r>
      <w:r w:rsidR="007911A8">
        <w:rPr>
          <w:rFonts w:ascii="Arial" w:hAnsi="Arial" w:cs="Arial"/>
        </w:rPr>
        <w:t xml:space="preserve">cyrchwyd: </w:t>
      </w:r>
      <w:r w:rsidRPr="00A16FD0">
        <w:rPr>
          <w:rFonts w:ascii="Arial" w:hAnsi="Arial" w:cs="Arial"/>
          <w:bCs/>
        </w:rPr>
        <w:t xml:space="preserve">23 </w:t>
      </w:r>
      <w:r>
        <w:rPr>
          <w:rFonts w:ascii="Arial" w:hAnsi="Arial" w:cs="Arial"/>
          <w:bCs/>
        </w:rPr>
        <w:t>Mawrth</w:t>
      </w:r>
      <w:r w:rsidRPr="00A16FD0">
        <w:rPr>
          <w:rFonts w:ascii="Arial" w:hAnsi="Arial" w:cs="Arial"/>
          <w:bCs/>
        </w:rPr>
        <w:t xml:space="preserve"> 2016].</w:t>
      </w:r>
    </w:p>
  </w:footnote>
  <w:footnote w:id="7">
    <w:p w:rsidR="003F708A" w:rsidRPr="00A16FD0" w:rsidRDefault="003F708A" w:rsidP="002D5DC6">
      <w:pPr>
        <w:widowControl w:val="0"/>
        <w:tabs>
          <w:tab w:val="left" w:pos="720"/>
        </w:tabs>
        <w:autoSpaceDE w:val="0"/>
        <w:autoSpaceDN w:val="0"/>
        <w:adjustRightInd w:val="0"/>
        <w:spacing w:before="40" w:after="40" w:line="276" w:lineRule="auto"/>
        <w:rPr>
          <w:rFonts w:cs="Arial"/>
          <w:color w:val="000000"/>
          <w:sz w:val="20"/>
          <w:szCs w:val="20"/>
        </w:rPr>
      </w:pPr>
      <w:r w:rsidRPr="00A16FD0">
        <w:rPr>
          <w:rStyle w:val="FootnoteReference"/>
          <w:rFonts w:cs="Arial"/>
          <w:sz w:val="20"/>
          <w:szCs w:val="20"/>
        </w:rPr>
        <w:footnoteRef/>
      </w:r>
      <w:r>
        <w:rPr>
          <w:rFonts w:cs="Arial"/>
          <w:sz w:val="20"/>
          <w:szCs w:val="20"/>
        </w:rPr>
        <w:t xml:space="preserve"> Pwyllgor Hawliau Dynol </w:t>
      </w:r>
      <w:r w:rsidRPr="00A16FD0">
        <w:rPr>
          <w:rFonts w:cs="Arial"/>
          <w:sz w:val="20"/>
          <w:szCs w:val="20"/>
        </w:rPr>
        <w:t xml:space="preserve"> </w:t>
      </w:r>
      <w:r>
        <w:rPr>
          <w:rFonts w:cs="Arial"/>
          <w:sz w:val="20"/>
          <w:szCs w:val="20"/>
        </w:rPr>
        <w:t xml:space="preserve">Pwyllgor CU </w:t>
      </w:r>
      <w:r w:rsidRPr="00831FF7">
        <w:rPr>
          <w:rFonts w:cs="Arial"/>
          <w:sz w:val="20"/>
          <w:szCs w:val="20"/>
        </w:rPr>
        <w:t>sylwadau terfynol ar seithfed adroddiad cyfnodol</w:t>
      </w:r>
      <w:r w:rsidR="007911A8">
        <w:rPr>
          <w:rFonts w:cs="Arial"/>
          <w:sz w:val="20"/>
          <w:szCs w:val="20"/>
        </w:rPr>
        <w:t xml:space="preserve"> </w:t>
      </w:r>
      <w:r>
        <w:rPr>
          <w:rFonts w:cs="Arial"/>
          <w:sz w:val="20"/>
          <w:szCs w:val="20"/>
        </w:rPr>
        <w:t xml:space="preserve">y Deyrnas Unedig, </w:t>
      </w:r>
      <w:r w:rsidRPr="00831FF7">
        <w:rPr>
          <w:rFonts w:cs="Arial"/>
          <w:sz w:val="20"/>
          <w:szCs w:val="20"/>
        </w:rPr>
        <w:t xml:space="preserve"> </w:t>
      </w:r>
      <w:r>
        <w:rPr>
          <w:rFonts w:cs="Arial"/>
          <w:color w:val="000000"/>
          <w:sz w:val="20"/>
          <w:szCs w:val="20"/>
        </w:rPr>
        <w:t>Gorffennaf</w:t>
      </w:r>
      <w:r w:rsidRPr="00A16FD0">
        <w:rPr>
          <w:rFonts w:cs="Arial"/>
          <w:color w:val="000000"/>
          <w:sz w:val="20"/>
          <w:szCs w:val="20"/>
        </w:rPr>
        <w:t xml:space="preserve"> 2015, para 9. </w:t>
      </w:r>
      <w:r>
        <w:rPr>
          <w:rFonts w:cs="Arial"/>
          <w:color w:val="000000"/>
          <w:sz w:val="20"/>
          <w:szCs w:val="20"/>
        </w:rPr>
        <w:t xml:space="preserve">Ar gael o: </w:t>
      </w:r>
      <w:r w:rsidRPr="00A16FD0">
        <w:rPr>
          <w:rFonts w:cs="Arial"/>
          <w:color w:val="000000"/>
          <w:sz w:val="20"/>
          <w:szCs w:val="20"/>
        </w:rPr>
        <w:t xml:space="preserve"> </w:t>
      </w:r>
      <w:hyperlink r:id="rId7" w:history="1">
        <w:r w:rsidR="00446A1E" w:rsidRPr="00C70BC4">
          <w:rPr>
            <w:rStyle w:val="Hyperlink"/>
            <w:rFonts w:cs="Arial"/>
            <w:sz w:val="20"/>
            <w:szCs w:val="20"/>
          </w:rPr>
          <w:t>http://www.equalityhumanrights.com/sites/default/files/uploads/documents/humanrights/UN/CCPRC%20GB%20concluding%20observations%20(1).pdf</w:t>
        </w:r>
      </w:hyperlink>
      <w:r w:rsidRPr="00A16FD0">
        <w:rPr>
          <w:rFonts w:cs="Arial"/>
          <w:color w:val="000000"/>
          <w:sz w:val="20"/>
          <w:szCs w:val="20"/>
        </w:rPr>
        <w:t xml:space="preserve"> [</w:t>
      </w:r>
      <w:r w:rsidR="007911A8" w:rsidRPr="007911A8">
        <w:rPr>
          <w:rFonts w:cs="Arial"/>
          <w:sz w:val="20"/>
          <w:szCs w:val="20"/>
        </w:rPr>
        <w:t>cyrchwyd:</w:t>
      </w:r>
      <w:r w:rsidR="007911A8">
        <w:rPr>
          <w:rFonts w:cs="Arial"/>
        </w:rPr>
        <w:t xml:space="preserve"> </w:t>
      </w:r>
      <w:r w:rsidRPr="00A16FD0">
        <w:rPr>
          <w:rFonts w:cs="Arial"/>
          <w:color w:val="000000"/>
          <w:sz w:val="20"/>
          <w:szCs w:val="20"/>
        </w:rPr>
        <w:t xml:space="preserve">3 </w:t>
      </w:r>
      <w:r>
        <w:rPr>
          <w:rFonts w:cs="Arial"/>
          <w:color w:val="000000"/>
          <w:sz w:val="20"/>
          <w:szCs w:val="20"/>
        </w:rPr>
        <w:t xml:space="preserve">Chwefror </w:t>
      </w:r>
      <w:r w:rsidRPr="00A16FD0">
        <w:rPr>
          <w:rFonts w:cs="Arial"/>
          <w:color w:val="000000"/>
          <w:sz w:val="20"/>
          <w:szCs w:val="20"/>
        </w:rPr>
        <w:t xml:space="preserve"> 2016].</w:t>
      </w:r>
    </w:p>
  </w:footnote>
  <w:footnote w:id="8">
    <w:p w:rsidR="003F708A" w:rsidRPr="00A16FD0" w:rsidRDefault="003F708A" w:rsidP="00071EBA">
      <w:pPr>
        <w:pStyle w:val="FootnoteText"/>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w:t>
      </w:r>
      <w:r>
        <w:rPr>
          <w:rFonts w:ascii="Arial" w:hAnsi="Arial" w:cs="Arial"/>
        </w:rPr>
        <w:t>Gweler</w:t>
      </w:r>
      <w:r w:rsidRPr="00A16FD0">
        <w:rPr>
          <w:rFonts w:ascii="Arial" w:hAnsi="Arial" w:cs="Arial"/>
        </w:rPr>
        <w:t xml:space="preserve"> </w:t>
      </w:r>
      <w:r>
        <w:rPr>
          <w:rFonts w:ascii="Arial" w:hAnsi="Arial" w:cs="Arial"/>
        </w:rPr>
        <w:t xml:space="preserve">Pwyllgor Amddiffyn Tŷ’r Cyffredin </w:t>
      </w:r>
      <w:r w:rsidRPr="00A16FD0">
        <w:rPr>
          <w:rFonts w:ascii="Arial" w:hAnsi="Arial" w:cs="Arial"/>
          <w:i/>
        </w:rPr>
        <w:t xml:space="preserve">UK Armed Forced Personnel and the Legal Framework for Future </w:t>
      </w:r>
      <w:r w:rsidRPr="00407EA1">
        <w:rPr>
          <w:rFonts w:ascii="Arial" w:hAnsi="Arial" w:cs="Arial"/>
          <w:i/>
        </w:rPr>
        <w:t>Operations</w:t>
      </w:r>
      <w:r w:rsidRPr="00A16FD0">
        <w:rPr>
          <w:rFonts w:ascii="Arial" w:hAnsi="Arial" w:cs="Arial"/>
        </w:rPr>
        <w:t xml:space="preserve"> (HC 931, 2 </w:t>
      </w:r>
      <w:r>
        <w:rPr>
          <w:rFonts w:ascii="Arial" w:hAnsi="Arial" w:cs="Arial"/>
        </w:rPr>
        <w:t>Ebrill</w:t>
      </w:r>
      <w:r w:rsidRPr="00A16FD0">
        <w:rPr>
          <w:rFonts w:ascii="Arial" w:hAnsi="Arial" w:cs="Arial"/>
        </w:rPr>
        <w:t xml:space="preserve"> 2014), Ev 15.</w:t>
      </w:r>
    </w:p>
  </w:footnote>
  <w:footnote w:id="9">
    <w:p w:rsidR="003F708A" w:rsidRPr="00A16FD0" w:rsidRDefault="003F708A" w:rsidP="00071EBA">
      <w:pPr>
        <w:pStyle w:val="FootnoteText"/>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w:t>
      </w:r>
      <w:r>
        <w:rPr>
          <w:rFonts w:ascii="Arial" w:hAnsi="Arial" w:cs="Arial"/>
        </w:rPr>
        <w:t>Adran</w:t>
      </w:r>
      <w:r w:rsidRPr="00A16FD0">
        <w:rPr>
          <w:rFonts w:ascii="Arial" w:hAnsi="Arial" w:cs="Arial"/>
        </w:rPr>
        <w:t xml:space="preserve"> 6(3) HRA.</w:t>
      </w:r>
    </w:p>
  </w:footnote>
  <w:footnote w:id="10">
    <w:p w:rsidR="003F708A" w:rsidRPr="00A16FD0" w:rsidRDefault="003F708A" w:rsidP="00071EBA">
      <w:pPr>
        <w:pStyle w:val="FootnoteText"/>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w:t>
      </w:r>
      <w:r>
        <w:rPr>
          <w:rFonts w:ascii="Arial" w:hAnsi="Arial" w:cs="Arial"/>
        </w:rPr>
        <w:t>Gweler</w:t>
      </w:r>
      <w:r w:rsidRPr="00A16FD0">
        <w:rPr>
          <w:rFonts w:ascii="Arial" w:hAnsi="Arial" w:cs="Arial"/>
        </w:rPr>
        <w:t xml:space="preserve"> </w:t>
      </w:r>
      <w:r>
        <w:rPr>
          <w:rFonts w:ascii="Arial" w:hAnsi="Arial" w:cs="Arial"/>
        </w:rPr>
        <w:t xml:space="preserve">yn arbennig </w:t>
      </w:r>
      <w:r w:rsidRPr="00A16FD0">
        <w:rPr>
          <w:rFonts w:ascii="Arial" w:hAnsi="Arial" w:cs="Arial"/>
        </w:rPr>
        <w:t xml:space="preserve"> </w:t>
      </w:r>
      <w:r>
        <w:rPr>
          <w:rFonts w:ascii="Arial" w:hAnsi="Arial" w:cs="Arial"/>
        </w:rPr>
        <w:t>Adran</w:t>
      </w:r>
      <w:r w:rsidRPr="00A16FD0">
        <w:rPr>
          <w:rFonts w:ascii="Arial" w:hAnsi="Arial" w:cs="Arial"/>
        </w:rPr>
        <w:t xml:space="preserve"> 8(3) HRA: </w:t>
      </w:r>
      <w:r>
        <w:rPr>
          <w:rFonts w:ascii="Arial" w:hAnsi="Arial" w:cs="Arial"/>
        </w:rPr>
        <w:t>‘</w:t>
      </w:r>
      <w:r w:rsidRPr="00A16FD0">
        <w:rPr>
          <w:rFonts w:ascii="Arial" w:hAnsi="Arial" w:cs="Arial"/>
        </w:rPr>
        <w:t>No award of damages is to be made unless, taking account of all the circumstances of the case … the court is satisfied that the award is necessary to afford just satisfaction to the person in whose favour it is made.</w:t>
      </w:r>
      <w:r>
        <w:rPr>
          <w:rFonts w:ascii="Arial" w:hAnsi="Arial" w:cs="Arial"/>
        </w:rPr>
        <w:t>’</w:t>
      </w:r>
    </w:p>
  </w:footnote>
  <w:footnote w:id="11">
    <w:p w:rsidR="003F708A" w:rsidRPr="00A16FD0" w:rsidRDefault="003F708A" w:rsidP="00071EBA">
      <w:pPr>
        <w:pStyle w:val="FootnoteText"/>
        <w:spacing w:before="40" w:after="40" w:line="276" w:lineRule="auto"/>
        <w:rPr>
          <w:rFonts w:ascii="Arial" w:hAnsi="Arial" w:cs="Arial"/>
        </w:rPr>
      </w:pPr>
      <w:r w:rsidRPr="00A16FD0">
        <w:rPr>
          <w:rStyle w:val="FootnoteReference"/>
          <w:rFonts w:ascii="Arial" w:hAnsi="Arial" w:cs="Arial"/>
        </w:rPr>
        <w:footnoteRef/>
      </w:r>
      <w:r>
        <w:rPr>
          <w:rFonts w:ascii="Arial" w:hAnsi="Arial" w:cs="Arial"/>
        </w:rPr>
        <w:t xml:space="preserve"> Gweler</w:t>
      </w:r>
      <w:r w:rsidRPr="00A16FD0">
        <w:rPr>
          <w:rFonts w:ascii="Arial" w:hAnsi="Arial" w:cs="Arial"/>
        </w:rPr>
        <w:t xml:space="preserve"> </w:t>
      </w:r>
      <w:r>
        <w:rPr>
          <w:rFonts w:ascii="Arial" w:hAnsi="Arial" w:cs="Arial"/>
        </w:rPr>
        <w:t>e.e.</w:t>
      </w:r>
      <w:r w:rsidRPr="00A16FD0">
        <w:rPr>
          <w:rFonts w:ascii="Arial" w:hAnsi="Arial" w:cs="Arial"/>
        </w:rPr>
        <w:t xml:space="preserve"> </w:t>
      </w:r>
      <w:r w:rsidRPr="00A16FD0">
        <w:rPr>
          <w:rFonts w:ascii="Arial" w:hAnsi="Arial" w:cs="Arial"/>
          <w:i/>
        </w:rPr>
        <w:t>R v Secretary of State for the Home Department ex parte Greenfield</w:t>
      </w:r>
      <w:r>
        <w:rPr>
          <w:rFonts w:ascii="Arial" w:hAnsi="Arial" w:cs="Arial"/>
          <w:i/>
        </w:rPr>
        <w:t xml:space="preserve"> </w:t>
      </w:r>
      <w:r w:rsidRPr="00A16FD0">
        <w:rPr>
          <w:rFonts w:ascii="Arial" w:hAnsi="Arial" w:cs="Arial"/>
        </w:rPr>
        <w:t xml:space="preserve">[2005] </w:t>
      </w:r>
      <w:r>
        <w:rPr>
          <w:rFonts w:ascii="Arial" w:hAnsi="Arial" w:cs="Arial"/>
        </w:rPr>
        <w:t>DU HL 14 per Arglwydd Bingham</w:t>
      </w:r>
      <w:r w:rsidRPr="00A16FD0">
        <w:rPr>
          <w:rFonts w:ascii="Arial" w:hAnsi="Arial" w:cs="Arial"/>
        </w:rPr>
        <w:t xml:space="preserve"> para 19: </w:t>
      </w:r>
      <w:r>
        <w:rPr>
          <w:rFonts w:ascii="Arial" w:hAnsi="Arial" w:cs="Arial"/>
        </w:rPr>
        <w:t>‘</w:t>
      </w:r>
      <w:r w:rsidRPr="00A16FD0">
        <w:rPr>
          <w:rFonts w:ascii="Arial" w:hAnsi="Arial" w:cs="Arial"/>
        </w:rPr>
        <w:t>First, the 1998 Act is not a tort statute. Its objects are different and broader. Even in a case where a finding of violati</w:t>
      </w:r>
      <w:r w:rsidR="00446A1E">
        <w:rPr>
          <w:rFonts w:ascii="Arial" w:hAnsi="Arial" w:cs="Arial"/>
        </w:rPr>
        <w:t>on is not judged to afford the app</w:t>
      </w:r>
      <w:r w:rsidRPr="00A16FD0">
        <w:rPr>
          <w:rFonts w:ascii="Arial" w:hAnsi="Arial" w:cs="Arial"/>
        </w:rPr>
        <w:t>licant just satisfaction, such a finding will be an important part of his remedy and an important vindication of the right he has asserted. Damages need not ordinarily be awarded to encourage high standards of compliance by member states…</w:t>
      </w:r>
      <w:r>
        <w:rPr>
          <w:rFonts w:ascii="Arial" w:hAnsi="Arial" w:cs="Arial"/>
        </w:rPr>
        <w:t>’</w:t>
      </w:r>
    </w:p>
  </w:footnote>
  <w:footnote w:id="12">
    <w:p w:rsidR="003F708A" w:rsidRPr="00A16FD0" w:rsidRDefault="003F708A" w:rsidP="001958CF">
      <w:pPr>
        <w:pStyle w:val="FootnoteText"/>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[2008] 1 AC 153.</w:t>
      </w:r>
    </w:p>
  </w:footnote>
  <w:footnote w:id="13">
    <w:p w:rsidR="003F708A" w:rsidRPr="00A16FD0" w:rsidRDefault="003F708A" w:rsidP="001958CF">
      <w:pPr>
        <w:pStyle w:val="FootnoteText"/>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w:t>
      </w:r>
      <w:r>
        <w:rPr>
          <w:rFonts w:ascii="Arial" w:hAnsi="Arial" w:cs="Arial"/>
        </w:rPr>
        <w:t>Gweler</w:t>
      </w:r>
      <w:r w:rsidRPr="00A16FD0">
        <w:rPr>
          <w:rFonts w:ascii="Arial" w:hAnsi="Arial" w:cs="Arial"/>
        </w:rPr>
        <w:t xml:space="preserve"> </w:t>
      </w:r>
      <w:r>
        <w:rPr>
          <w:rFonts w:ascii="Arial" w:hAnsi="Arial" w:cs="Arial"/>
        </w:rPr>
        <w:t>e.e.</w:t>
      </w:r>
      <w:r w:rsidRPr="00A16FD0">
        <w:rPr>
          <w:rFonts w:ascii="Arial" w:hAnsi="Arial" w:cs="Arial"/>
        </w:rPr>
        <w:t xml:space="preserve"> </w:t>
      </w:r>
      <w:r>
        <w:rPr>
          <w:rFonts w:ascii="Arial" w:hAnsi="Arial" w:cs="Arial"/>
        </w:rPr>
        <w:t>Arglwydd Roger</w:t>
      </w:r>
      <w:r w:rsidRPr="00A16FD0">
        <w:rPr>
          <w:rFonts w:ascii="Arial" w:hAnsi="Arial" w:cs="Arial"/>
        </w:rPr>
        <w:t xml:space="preserve"> para 59: </w:t>
      </w:r>
      <w:r>
        <w:rPr>
          <w:rFonts w:ascii="Arial" w:hAnsi="Arial" w:cs="Arial"/>
        </w:rPr>
        <w:t>‘</w:t>
      </w:r>
      <w:r w:rsidR="00446A1E">
        <w:rPr>
          <w:rFonts w:ascii="Arial" w:hAnsi="Arial" w:cs="Arial"/>
        </w:rPr>
        <w:t>Section</w:t>
      </w:r>
      <w:r w:rsidRPr="00A16FD0">
        <w:rPr>
          <w:rFonts w:ascii="Arial" w:hAnsi="Arial" w:cs="Arial"/>
        </w:rPr>
        <w:t xml:space="preserve"> 6 [of the</w:t>
      </w:r>
      <w:r w:rsidR="00446A1E">
        <w:rPr>
          <w:rFonts w:ascii="Arial" w:hAnsi="Arial" w:cs="Arial"/>
        </w:rPr>
        <w:t xml:space="preserve"> HRA] should be interpreted as app</w:t>
      </w:r>
      <w:r w:rsidRPr="00A16FD0">
        <w:rPr>
          <w:rFonts w:ascii="Arial" w:hAnsi="Arial" w:cs="Arial"/>
        </w:rPr>
        <w:t xml:space="preserve">lying not only when a public authority acts within the United Kingdom but also when it acts within the </w:t>
      </w:r>
      <w:r>
        <w:rPr>
          <w:rFonts w:ascii="Arial" w:hAnsi="Arial" w:cs="Arial"/>
        </w:rPr>
        <w:t xml:space="preserve">jurisdiction </w:t>
      </w:r>
      <w:r w:rsidRPr="00A16FD0">
        <w:rPr>
          <w:rFonts w:ascii="Arial" w:hAnsi="Arial" w:cs="Arial"/>
        </w:rPr>
        <w:t xml:space="preserve"> of the United Kingdom for purposes of </w:t>
      </w:r>
      <w:r w:rsidR="00446A1E">
        <w:rPr>
          <w:rFonts w:ascii="Arial" w:hAnsi="Arial" w:cs="Arial"/>
        </w:rPr>
        <w:t>article</w:t>
      </w:r>
      <w:r w:rsidRPr="00A16FD0">
        <w:rPr>
          <w:rFonts w:ascii="Arial" w:hAnsi="Arial" w:cs="Arial"/>
        </w:rPr>
        <w:t xml:space="preserve"> 1 of the Convention, but outside the territory of the United Kingdom.</w:t>
      </w:r>
      <w:r>
        <w:rPr>
          <w:rFonts w:ascii="Arial" w:hAnsi="Arial" w:cs="Arial"/>
        </w:rPr>
        <w:t>’</w:t>
      </w:r>
    </w:p>
  </w:footnote>
  <w:footnote w:id="14">
    <w:p w:rsidR="003F708A" w:rsidRPr="00570431" w:rsidRDefault="003F708A" w:rsidP="00B01649">
      <w:pPr>
        <w:pStyle w:val="FootnoteText"/>
        <w:rPr>
          <w:rFonts w:ascii="Arial" w:hAnsi="Arial" w:cs="Arial"/>
        </w:rPr>
      </w:pPr>
      <w:r w:rsidRPr="00570431">
        <w:rPr>
          <w:rStyle w:val="FootnoteReference"/>
          <w:rFonts w:ascii="Arial" w:hAnsi="Arial" w:cs="Arial"/>
        </w:rPr>
        <w:footnoteRef/>
      </w:r>
      <w:r>
        <w:rPr>
          <w:rFonts w:ascii="Arial" w:hAnsi="Arial" w:cs="Arial"/>
        </w:rPr>
        <w:t xml:space="preserve"> (2011) 53 EHRR 18 </w:t>
      </w:r>
      <w:r w:rsidRPr="00570431">
        <w:rPr>
          <w:rFonts w:ascii="Arial" w:hAnsi="Arial" w:cs="Arial"/>
        </w:rPr>
        <w:t>para 149.</w:t>
      </w:r>
    </w:p>
  </w:footnote>
  <w:footnote w:id="15">
    <w:p w:rsidR="003F708A" w:rsidRPr="00A16FD0" w:rsidRDefault="003F708A" w:rsidP="001958CF">
      <w:pPr>
        <w:pStyle w:val="FootnoteText"/>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[2013] </w:t>
      </w:r>
      <w:r>
        <w:rPr>
          <w:rFonts w:ascii="Arial" w:hAnsi="Arial" w:cs="Arial"/>
        </w:rPr>
        <w:t xml:space="preserve">DU </w:t>
      </w:r>
      <w:r w:rsidRPr="00A16FD0">
        <w:rPr>
          <w:rFonts w:ascii="Arial" w:hAnsi="Arial" w:cs="Arial"/>
        </w:rPr>
        <w:t>SC 41.</w:t>
      </w:r>
    </w:p>
  </w:footnote>
  <w:footnote w:id="16">
    <w:p w:rsidR="003F708A" w:rsidRPr="00A16FD0" w:rsidRDefault="003F708A" w:rsidP="001958CF">
      <w:pPr>
        <w:pStyle w:val="FootnoteText"/>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w:t>
      </w:r>
      <w:r>
        <w:rPr>
          <w:rFonts w:ascii="Arial" w:hAnsi="Arial" w:cs="Arial"/>
        </w:rPr>
        <w:t xml:space="preserve">Roedd y Comisiwn </w:t>
      </w:r>
      <w:r w:rsidRPr="00A16FD0">
        <w:rPr>
          <w:rFonts w:ascii="Arial" w:hAnsi="Arial" w:cs="Arial"/>
        </w:rPr>
        <w:t xml:space="preserve"> </w:t>
      </w:r>
      <w:r>
        <w:rPr>
          <w:rFonts w:ascii="Arial" w:hAnsi="Arial" w:cs="Arial"/>
        </w:rPr>
        <w:t>wedi ymyrryd yn yr achos hwn gan ddadlau, yn llwyddiannus, bod y milwyr dan sylw o dan awdurdod Erthygl 1 ECHR yn gyfreithiol.</w:t>
      </w:r>
    </w:p>
  </w:footnote>
  <w:footnote w:id="17">
    <w:p w:rsidR="003F708A" w:rsidRPr="00A16FD0" w:rsidRDefault="003F708A" w:rsidP="001958CF">
      <w:pPr>
        <w:pStyle w:val="FootnoteText"/>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Para 66.</w:t>
      </w:r>
    </w:p>
  </w:footnote>
  <w:footnote w:id="18">
    <w:p w:rsidR="003F708A" w:rsidRPr="00A16FD0" w:rsidRDefault="003F708A" w:rsidP="001958CF">
      <w:pPr>
        <w:pStyle w:val="FootnoteText"/>
        <w:spacing w:before="40" w:after="40" w:line="276" w:lineRule="auto"/>
        <w:rPr>
          <w:rFonts w:ascii="Arial" w:hAnsi="Arial" w:cs="Arial"/>
        </w:rPr>
      </w:pPr>
      <w:r w:rsidRPr="00A16FD0">
        <w:rPr>
          <w:rStyle w:val="FootnoteReference"/>
          <w:rFonts w:ascii="Arial" w:hAnsi="Arial" w:cs="Arial"/>
        </w:rPr>
        <w:footnoteRef/>
      </w:r>
      <w:r>
        <w:rPr>
          <w:rFonts w:ascii="Arial" w:hAnsi="Arial" w:cs="Arial"/>
        </w:rPr>
        <w:t xml:space="preserve"> </w:t>
      </w:r>
      <w:r w:rsidRPr="00A16FD0">
        <w:rPr>
          <w:rFonts w:ascii="Arial" w:hAnsi="Arial" w:cs="Arial"/>
        </w:rPr>
        <w:t>Tugendhat and Croft</w:t>
      </w:r>
      <w:r>
        <w:rPr>
          <w:rFonts w:ascii="Arial" w:hAnsi="Arial" w:cs="Arial"/>
        </w:rPr>
        <w:t xml:space="preserve"> (2013)</w:t>
      </w:r>
      <w:r w:rsidRPr="00A16FD0">
        <w:rPr>
          <w:rFonts w:ascii="Arial" w:hAnsi="Arial" w:cs="Arial"/>
        </w:rPr>
        <w:t xml:space="preserve">, </w:t>
      </w:r>
      <w:r w:rsidRPr="00A16FD0">
        <w:rPr>
          <w:rFonts w:ascii="Arial" w:hAnsi="Arial" w:cs="Arial"/>
          <w:i/>
        </w:rPr>
        <w:t>The Fog of War: An introduction to the legal erosion of British fighting power</w:t>
      </w:r>
      <w:r>
        <w:rPr>
          <w:rFonts w:ascii="Arial" w:hAnsi="Arial" w:cs="Arial"/>
        </w:rPr>
        <w:t xml:space="preserve">, tt. 35-36. Ar gael o: </w:t>
      </w:r>
      <w:hyperlink r:id="rId8" w:history="1">
        <w:r w:rsidRPr="00954062">
          <w:rPr>
            <w:rStyle w:val="Hyperlink"/>
            <w:rFonts w:ascii="Arial" w:hAnsi="Arial" w:cs="Arial"/>
          </w:rPr>
          <w:t>http://www.policyexchange.org.uk/publications/category/item/the-fog-of-law-an-introduction-to-the-legal-erosion-of-british-fighting-power</w:t>
        </w:r>
      </w:hyperlink>
      <w:r>
        <w:rPr>
          <w:rFonts w:ascii="Arial" w:hAnsi="Arial" w:cs="Arial"/>
        </w:rPr>
        <w:t xml:space="preserve"> [</w:t>
      </w:r>
      <w:r w:rsidR="007911A8">
        <w:rPr>
          <w:rFonts w:ascii="Arial" w:hAnsi="Arial" w:cs="Arial"/>
        </w:rPr>
        <w:t xml:space="preserve">cyrchwyd: </w:t>
      </w:r>
      <w:r>
        <w:rPr>
          <w:rFonts w:ascii="Arial" w:hAnsi="Arial" w:cs="Arial"/>
        </w:rPr>
        <w:t>29 Mehefin 2016].</w:t>
      </w:r>
      <w:r w:rsidRPr="00A16FD0">
        <w:rPr>
          <w:rFonts w:ascii="Arial" w:hAnsi="Arial" w:cs="Arial"/>
        </w:rPr>
        <w:t xml:space="preserve"> </w:t>
      </w:r>
    </w:p>
  </w:footnote>
  <w:footnote w:id="19">
    <w:p w:rsidR="003F708A" w:rsidRPr="00A16FD0" w:rsidRDefault="003F708A" w:rsidP="001958CF">
      <w:pPr>
        <w:pStyle w:val="FootnoteText"/>
        <w:spacing w:before="40" w:after="40" w:line="276" w:lineRule="auto"/>
        <w:rPr>
          <w:rFonts w:ascii="Arial" w:hAnsi="Arial" w:cs="Arial"/>
        </w:rPr>
      </w:pPr>
      <w:r w:rsidRPr="00831FF7">
        <w:rPr>
          <w:rStyle w:val="FootnoteReference"/>
          <w:rFonts w:ascii="Arial" w:hAnsi="Arial" w:cs="Arial"/>
        </w:rPr>
        <w:footnoteRef/>
      </w:r>
      <w:r w:rsidRPr="00831FF7">
        <w:rPr>
          <w:rFonts w:ascii="Arial" w:hAnsi="Arial" w:cs="Arial"/>
        </w:rPr>
        <w:t>Pwyllgor Hawliau Dynol (2015), sylwadau terfynol ar seithfed adroddiad cyfnodol Teyrnas Unedig Prydain Fawr</w:t>
      </w:r>
      <w:r w:rsidRPr="00A16FD0">
        <w:rPr>
          <w:rFonts w:ascii="Arial" w:hAnsi="Arial" w:cs="Arial"/>
          <w:color w:val="000000"/>
        </w:rPr>
        <w:t xml:space="preserve">, </w:t>
      </w:r>
      <w:r>
        <w:rPr>
          <w:rFonts w:ascii="Arial" w:hAnsi="Arial" w:cs="Arial"/>
          <w:color w:val="000000"/>
        </w:rPr>
        <w:t>Gorffennaf</w:t>
      </w:r>
      <w:r w:rsidRPr="00A16FD0">
        <w:rPr>
          <w:rFonts w:ascii="Arial" w:hAnsi="Arial" w:cs="Arial"/>
          <w:color w:val="000000"/>
        </w:rPr>
        <w:t xml:space="preserve"> 2015, para 9. </w:t>
      </w:r>
      <w:r>
        <w:rPr>
          <w:rFonts w:ascii="Arial" w:hAnsi="Arial" w:cs="Arial"/>
          <w:color w:val="000000"/>
        </w:rPr>
        <w:t xml:space="preserve">Ar gael o: </w:t>
      </w:r>
      <w:r w:rsidRPr="00A16FD0">
        <w:rPr>
          <w:rFonts w:ascii="Arial" w:hAnsi="Arial" w:cs="Arial"/>
          <w:color w:val="000000"/>
        </w:rPr>
        <w:t xml:space="preserve"> </w:t>
      </w:r>
      <w:hyperlink r:id="rId9" w:history="1">
        <w:r w:rsidRPr="00A16FD0">
          <w:rPr>
            <w:rStyle w:val="Hyperlink"/>
            <w:rFonts w:ascii="Arial" w:hAnsi="Arial" w:cs="Arial"/>
          </w:rPr>
          <w:t>http://www.</w:t>
        </w:r>
        <w:r>
          <w:rPr>
            <w:rStyle w:val="Hyperlink"/>
            <w:rFonts w:ascii="Arial" w:hAnsi="Arial" w:cs="Arial"/>
          </w:rPr>
          <w:t>cydraddoldeb</w:t>
        </w:r>
        <w:r w:rsidRPr="00A16FD0">
          <w:rPr>
            <w:rStyle w:val="Hyperlink"/>
            <w:rFonts w:ascii="Arial" w:hAnsi="Arial" w:cs="Arial"/>
          </w:rPr>
          <w:t>humanrights.com/sites/default/files/uploads/documents/humanrights/UN/CCPRC%20GB%20concluding%20observations%20(1).pdf</w:t>
        </w:r>
      </w:hyperlink>
      <w:r w:rsidRPr="00A16FD0">
        <w:rPr>
          <w:rFonts w:ascii="Arial" w:hAnsi="Arial" w:cs="Arial"/>
          <w:color w:val="000000"/>
        </w:rPr>
        <w:t xml:space="preserve"> [</w:t>
      </w:r>
      <w:r w:rsidR="007911A8">
        <w:rPr>
          <w:rFonts w:ascii="Arial" w:hAnsi="Arial" w:cs="Arial"/>
        </w:rPr>
        <w:t xml:space="preserve">cyrchwyd: </w:t>
      </w:r>
      <w:r w:rsidRPr="00A16FD0">
        <w:rPr>
          <w:rFonts w:ascii="Arial" w:hAnsi="Arial" w:cs="Arial"/>
          <w:color w:val="000000"/>
        </w:rPr>
        <w:t xml:space="preserve"> 3 </w:t>
      </w:r>
      <w:r>
        <w:rPr>
          <w:rFonts w:ascii="Arial" w:hAnsi="Arial" w:cs="Arial"/>
          <w:color w:val="000000"/>
        </w:rPr>
        <w:t>Mehefin</w:t>
      </w:r>
      <w:r w:rsidRPr="00A16FD0">
        <w:rPr>
          <w:rFonts w:ascii="Arial" w:hAnsi="Arial" w:cs="Arial"/>
          <w:color w:val="000000"/>
        </w:rPr>
        <w:t xml:space="preserve"> 2016].</w:t>
      </w:r>
    </w:p>
  </w:footnote>
  <w:footnote w:id="20">
    <w:p w:rsidR="003F708A" w:rsidRPr="009D4CFB" w:rsidRDefault="003F708A" w:rsidP="001958CF">
      <w:pPr>
        <w:pStyle w:val="FootnoteText"/>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w:t>
      </w:r>
      <w:r>
        <w:rPr>
          <w:rFonts w:ascii="Arial" w:hAnsi="Arial" w:cs="Arial"/>
        </w:rPr>
        <w:t xml:space="preserve">Swyddfa’r Uwch Gomisiynydd ar Hawliau dynol </w:t>
      </w:r>
      <w:r w:rsidRPr="00A16FD0">
        <w:rPr>
          <w:rFonts w:ascii="Arial" w:hAnsi="Arial" w:cs="Arial"/>
        </w:rPr>
        <w:t xml:space="preserve">, </w:t>
      </w:r>
      <w:r>
        <w:rPr>
          <w:rFonts w:ascii="Arial" w:hAnsi="Arial" w:cs="Arial"/>
        </w:rPr>
        <w:t xml:space="preserve">‘Mae’r Pwyllgor Hawliau Dynol </w:t>
      </w:r>
      <w:r w:rsidRPr="00A16FD0">
        <w:rPr>
          <w:rFonts w:ascii="Arial" w:hAnsi="Arial" w:cs="Arial"/>
        </w:rPr>
        <w:t xml:space="preserve"> </w:t>
      </w:r>
      <w:r>
        <w:rPr>
          <w:rFonts w:ascii="Arial" w:hAnsi="Arial" w:cs="Arial"/>
        </w:rPr>
        <w:t>Pwyllgor</w:t>
      </w:r>
      <w:r w:rsidRPr="00A16FD0">
        <w:rPr>
          <w:rFonts w:ascii="Arial" w:hAnsi="Arial" w:cs="Arial"/>
        </w:rPr>
        <w:t xml:space="preserve"> </w:t>
      </w:r>
      <w:r>
        <w:rPr>
          <w:rFonts w:ascii="Arial" w:hAnsi="Arial" w:cs="Arial"/>
        </w:rPr>
        <w:t>yn ystyried adroddiad y Deyrnas Unedig’</w:t>
      </w:r>
      <w:r w:rsidRPr="00A16FD0">
        <w:rPr>
          <w:rFonts w:ascii="Arial" w:hAnsi="Arial" w:cs="Arial"/>
        </w:rPr>
        <w:t xml:space="preserve">, 2 </w:t>
      </w:r>
      <w:r>
        <w:rPr>
          <w:rFonts w:ascii="Arial" w:hAnsi="Arial" w:cs="Arial"/>
        </w:rPr>
        <w:t>Gorffennaf</w:t>
      </w:r>
      <w:r w:rsidRPr="00A16FD0">
        <w:rPr>
          <w:rFonts w:ascii="Arial" w:hAnsi="Arial" w:cs="Arial"/>
        </w:rPr>
        <w:t xml:space="preserve"> 2015. </w:t>
      </w:r>
      <w:r>
        <w:rPr>
          <w:rFonts w:ascii="Arial" w:hAnsi="Arial" w:cs="Arial"/>
        </w:rPr>
        <w:t xml:space="preserve">Ar gael o: </w:t>
      </w:r>
      <w:hyperlink r:id="rId10" w:history="1">
        <w:r w:rsidRPr="00A16FD0">
          <w:rPr>
            <w:rStyle w:val="Hyperlink"/>
            <w:rFonts w:ascii="Arial" w:hAnsi="Arial" w:cs="Arial"/>
          </w:rPr>
          <w:t>http://www.ohchr.org/EN/NewsEvents/Pages/DisplayNews.aspx?LangID=E&amp;NewsID=16185</w:t>
        </w:r>
      </w:hyperlink>
      <w:r w:rsidRPr="00A16FD0">
        <w:rPr>
          <w:rFonts w:ascii="Arial" w:hAnsi="Arial" w:cs="Arial"/>
        </w:rPr>
        <w:t xml:space="preserve"> </w:t>
      </w:r>
      <w:r w:rsidRPr="009D4CFB">
        <w:rPr>
          <w:rFonts w:ascii="Arial" w:hAnsi="Arial" w:cs="Arial"/>
        </w:rPr>
        <w:t>[</w:t>
      </w:r>
      <w:r w:rsidR="007911A8">
        <w:rPr>
          <w:rFonts w:ascii="Arial" w:hAnsi="Arial" w:cs="Arial"/>
        </w:rPr>
        <w:t>cyrchwyd</w:t>
      </w:r>
      <w:r w:rsidRPr="009D4CFB">
        <w:rPr>
          <w:rFonts w:ascii="Arial" w:hAnsi="Arial" w:cs="Arial"/>
        </w:rPr>
        <w:t xml:space="preserve"> 3 </w:t>
      </w:r>
      <w:r>
        <w:rPr>
          <w:rFonts w:ascii="Arial" w:hAnsi="Arial" w:cs="Arial"/>
        </w:rPr>
        <w:t>Mehefin</w:t>
      </w:r>
      <w:r w:rsidRPr="009D4CFB">
        <w:rPr>
          <w:rFonts w:ascii="Arial" w:hAnsi="Arial" w:cs="Arial"/>
        </w:rPr>
        <w:t xml:space="preserve"> 2016].</w:t>
      </w:r>
    </w:p>
  </w:footnote>
  <w:footnote w:id="21">
    <w:p w:rsidR="003F708A" w:rsidRPr="00720814" w:rsidRDefault="003F708A" w:rsidP="00D64119">
      <w:pPr>
        <w:pStyle w:val="CommentText"/>
        <w:rPr>
          <w:color w:val="333333"/>
          <w:lang w:val="en-US"/>
        </w:rPr>
      </w:pPr>
      <w:r>
        <w:rPr>
          <w:rStyle w:val="FootnoteReference"/>
        </w:rPr>
        <w:footnoteRef/>
      </w:r>
      <w:r>
        <w:t xml:space="preserve"> Mae </w:t>
      </w:r>
      <w:r>
        <w:rPr>
          <w:color w:val="333333"/>
          <w:lang w:val="en-US"/>
        </w:rPr>
        <w:t xml:space="preserve">Erthygl 2(1) ICCPR yn darparu:  ‘bod Cynulliad pob Gwladwriaeth yn y Cyfamod cyfredol yn ymrywmo i </w:t>
      </w:r>
      <w:r>
        <w:t>barchu a sicrhau yr hawliau a nodir yn y Cyfamod i unrhyw un o fewn grym neu reolaeth effeithiol y cynulliad hwnnw</w:t>
      </w:r>
    </w:p>
  </w:footnote>
  <w:footnote w:id="22">
    <w:p w:rsidR="003F708A" w:rsidRPr="00570431" w:rsidRDefault="003F708A" w:rsidP="00D64119">
      <w:pPr>
        <w:pStyle w:val="FootnoteText"/>
        <w:rPr>
          <w:rFonts w:ascii="Arial" w:hAnsi="Arial" w:cs="Arial"/>
        </w:rPr>
      </w:pPr>
      <w:r w:rsidRPr="00570431">
        <w:rPr>
          <w:rStyle w:val="FootnoteReference"/>
          <w:rFonts w:ascii="Arial" w:hAnsi="Arial" w:cs="Arial"/>
        </w:rPr>
        <w:footnoteRef/>
      </w:r>
      <w:r w:rsidRPr="00570431">
        <w:rPr>
          <w:rFonts w:ascii="Arial" w:hAnsi="Arial" w:cs="Arial"/>
        </w:rPr>
        <w:t xml:space="preserve"> CCPR/C/21/Rev.1/Add. 13</w:t>
      </w:r>
      <w:r>
        <w:rPr>
          <w:rFonts w:ascii="Arial" w:hAnsi="Arial" w:cs="Arial"/>
        </w:rPr>
        <w:t xml:space="preserve">, </w:t>
      </w:r>
      <w:r w:rsidRPr="00570431">
        <w:rPr>
          <w:rFonts w:ascii="Arial" w:hAnsi="Arial" w:cs="Arial"/>
        </w:rPr>
        <w:t xml:space="preserve">26 </w:t>
      </w:r>
      <w:r>
        <w:rPr>
          <w:rFonts w:ascii="Arial" w:hAnsi="Arial" w:cs="Arial"/>
        </w:rPr>
        <w:t>Mai</w:t>
      </w:r>
      <w:r w:rsidRPr="00570431">
        <w:rPr>
          <w:rFonts w:ascii="Arial" w:hAnsi="Arial" w:cs="Arial"/>
        </w:rPr>
        <w:t xml:space="preserve"> 2004</w:t>
      </w:r>
      <w:r>
        <w:rPr>
          <w:rFonts w:ascii="Arial" w:hAnsi="Arial" w:cs="Arial"/>
        </w:rPr>
        <w:t xml:space="preserve">. Ar gael o: </w:t>
      </w:r>
      <w:hyperlink r:id="rId11" w:history="1">
        <w:r w:rsidRPr="00570431">
          <w:rPr>
            <w:rStyle w:val="Hyperlink"/>
            <w:rFonts w:ascii="Arial" w:hAnsi="Arial" w:cs="Arial"/>
          </w:rPr>
          <w:t>http://tbinternet.ohchr.org/_layouts/treatybodyexternal/Download.aspx?symbolno=CCPR%2fC%2f21%2fRev.1%2fAdd.13&amp;Lang=en</w:t>
        </w:r>
      </w:hyperlink>
      <w:r>
        <w:t xml:space="preserve"> </w:t>
      </w:r>
      <w:r>
        <w:rPr>
          <w:rFonts w:ascii="Arial" w:hAnsi="Arial" w:cs="Arial"/>
        </w:rPr>
        <w:t>[</w:t>
      </w:r>
      <w:r w:rsidR="007911A8">
        <w:rPr>
          <w:rFonts w:ascii="Arial" w:hAnsi="Arial" w:cs="Arial"/>
        </w:rPr>
        <w:t xml:space="preserve">cyrchwyd: </w:t>
      </w:r>
      <w:r>
        <w:rPr>
          <w:rFonts w:ascii="Arial" w:hAnsi="Arial" w:cs="Arial"/>
        </w:rPr>
        <w:t>14</w:t>
      </w:r>
      <w:r w:rsidRPr="00A16FD0">
        <w:rPr>
          <w:rFonts w:ascii="Arial" w:hAnsi="Arial" w:cs="Arial"/>
        </w:rPr>
        <w:t xml:space="preserve"> </w:t>
      </w:r>
      <w:r>
        <w:rPr>
          <w:rFonts w:ascii="Arial" w:hAnsi="Arial" w:cs="Arial"/>
        </w:rPr>
        <w:t>Mehefin</w:t>
      </w:r>
      <w:r w:rsidRPr="00A16FD0">
        <w:rPr>
          <w:rFonts w:ascii="Arial" w:hAnsi="Arial" w:cs="Arial"/>
        </w:rPr>
        <w:t xml:space="preserve"> 2016].</w:t>
      </w:r>
    </w:p>
  </w:footnote>
  <w:footnote w:id="23">
    <w:p w:rsidR="003F708A" w:rsidRPr="00A16FD0" w:rsidRDefault="003F708A" w:rsidP="001958CF">
      <w:pPr>
        <w:pStyle w:val="FootnoteText"/>
        <w:widowControl w:val="0"/>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w:t>
      </w:r>
      <w:r>
        <w:rPr>
          <w:rFonts w:ascii="Arial" w:hAnsi="Arial" w:cs="Arial"/>
        </w:rPr>
        <w:t>Ymchwiliad y Carcharorion</w:t>
      </w:r>
      <w:r w:rsidRPr="00A16FD0">
        <w:rPr>
          <w:rFonts w:ascii="Arial" w:hAnsi="Arial" w:cs="Arial"/>
        </w:rPr>
        <w:t>. 2013. A</w:t>
      </w:r>
      <w:r>
        <w:rPr>
          <w:rFonts w:ascii="Arial" w:hAnsi="Arial" w:cs="Arial"/>
        </w:rPr>
        <w:t xml:space="preserve">m yr ymchwiliad  </w:t>
      </w:r>
      <w:r w:rsidRPr="00A16FD0">
        <w:rPr>
          <w:rFonts w:ascii="Arial" w:hAnsi="Arial" w:cs="Arial"/>
        </w:rPr>
        <w:t>[</w:t>
      </w:r>
      <w:r>
        <w:rPr>
          <w:rFonts w:ascii="Arial" w:hAnsi="Arial" w:cs="Arial"/>
        </w:rPr>
        <w:t>AR-LEIN</w:t>
      </w:r>
      <w:r w:rsidRPr="00A16FD0">
        <w:rPr>
          <w:rFonts w:ascii="Arial" w:hAnsi="Arial" w:cs="Arial"/>
        </w:rPr>
        <w:t xml:space="preserve">E] </w:t>
      </w:r>
      <w:r>
        <w:rPr>
          <w:rFonts w:ascii="Arial" w:hAnsi="Arial" w:cs="Arial"/>
        </w:rPr>
        <w:t xml:space="preserve">Ar gael o: </w:t>
      </w:r>
      <w:hyperlink r:id="rId12" w:history="1">
        <w:r w:rsidRPr="00A16FD0">
          <w:rPr>
            <w:rStyle w:val="Hyperlink"/>
            <w:rFonts w:ascii="Arial" w:hAnsi="Arial" w:cs="Arial"/>
          </w:rPr>
          <w:t>http://www.detainee</w:t>
        </w:r>
        <w:r>
          <w:rPr>
            <w:rStyle w:val="Hyperlink"/>
            <w:rFonts w:ascii="Arial" w:hAnsi="Arial" w:cs="Arial"/>
          </w:rPr>
          <w:t xml:space="preserve">ymchwiliad </w:t>
        </w:r>
        <w:r w:rsidRPr="00A16FD0">
          <w:rPr>
            <w:rStyle w:val="Hyperlink"/>
            <w:rFonts w:ascii="Arial" w:hAnsi="Arial" w:cs="Arial"/>
          </w:rPr>
          <w:t>.org.uk/about/index.html</w:t>
        </w:r>
      </w:hyperlink>
      <w:r w:rsidRPr="00A16FD0">
        <w:rPr>
          <w:rFonts w:ascii="Arial" w:hAnsi="Arial" w:cs="Arial"/>
        </w:rPr>
        <w:t xml:space="preserve"> [</w:t>
      </w:r>
      <w:r w:rsidR="007911A8">
        <w:rPr>
          <w:rFonts w:ascii="Arial" w:hAnsi="Arial" w:cs="Arial"/>
        </w:rPr>
        <w:t xml:space="preserve">cyrchwyd:  </w:t>
      </w:r>
      <w:r w:rsidRPr="00A16FD0">
        <w:rPr>
          <w:rFonts w:ascii="Arial" w:hAnsi="Arial" w:cs="Arial"/>
        </w:rPr>
        <w:t xml:space="preserve">3 </w:t>
      </w:r>
      <w:r>
        <w:rPr>
          <w:rFonts w:ascii="Arial" w:hAnsi="Arial" w:cs="Arial"/>
        </w:rPr>
        <w:t xml:space="preserve">Chwefror </w:t>
      </w:r>
      <w:r w:rsidRPr="00A16FD0">
        <w:rPr>
          <w:rFonts w:ascii="Arial" w:hAnsi="Arial" w:cs="Arial"/>
        </w:rPr>
        <w:t xml:space="preserve"> 2016].</w:t>
      </w:r>
    </w:p>
  </w:footnote>
  <w:footnote w:id="24">
    <w:p w:rsidR="003F708A" w:rsidRPr="00A16FD0" w:rsidRDefault="003F708A" w:rsidP="001958CF">
      <w:pPr>
        <w:pStyle w:val="FootnoteText"/>
        <w:widowControl w:val="0"/>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w:t>
      </w:r>
      <w:r>
        <w:rPr>
          <w:rFonts w:ascii="Arial" w:hAnsi="Arial" w:cs="Arial"/>
        </w:rPr>
        <w:t xml:space="preserve">Ysgrifennydd Gwladol Cyfiawnder </w:t>
      </w:r>
      <w:r w:rsidRPr="00A16FD0">
        <w:rPr>
          <w:rFonts w:ascii="Arial" w:hAnsi="Arial" w:cs="Arial"/>
        </w:rPr>
        <w:t xml:space="preserve">Kenneth Clarke, 19 </w:t>
      </w:r>
      <w:r>
        <w:rPr>
          <w:rFonts w:ascii="Arial" w:hAnsi="Arial" w:cs="Arial"/>
        </w:rPr>
        <w:t>Rhagfyr</w:t>
      </w:r>
      <w:r w:rsidRPr="00A16FD0">
        <w:rPr>
          <w:rFonts w:ascii="Arial" w:hAnsi="Arial" w:cs="Arial"/>
        </w:rPr>
        <w:t xml:space="preserve"> 2013. </w:t>
      </w:r>
      <w:r>
        <w:rPr>
          <w:rFonts w:ascii="Arial" w:hAnsi="Arial" w:cs="Arial"/>
        </w:rPr>
        <w:t xml:space="preserve">Ar gael o: </w:t>
      </w:r>
      <w:hyperlink r:id="rId13" w:anchor="131219-0002.htm_spmin0" w:history="1">
        <w:r w:rsidRPr="00A16FD0">
          <w:rPr>
            <w:rStyle w:val="Hyperlink"/>
            <w:rFonts w:ascii="Arial" w:hAnsi="Arial" w:cs="Arial"/>
          </w:rPr>
          <w:t>http://www.publications.parliament.uk/pa/cm201314/cmhansrd/cm131219/debtext/131219-0002.htm#131219-0002.htm_spmin0</w:t>
        </w:r>
      </w:hyperlink>
      <w:r w:rsidRPr="00A16FD0">
        <w:rPr>
          <w:rFonts w:ascii="Arial" w:hAnsi="Arial" w:cs="Arial"/>
        </w:rPr>
        <w:t xml:space="preserve"> [</w:t>
      </w:r>
      <w:r w:rsidR="007911A8">
        <w:rPr>
          <w:rFonts w:ascii="Arial" w:hAnsi="Arial" w:cs="Arial"/>
        </w:rPr>
        <w:t xml:space="preserve">cyrchwyd: </w:t>
      </w:r>
      <w:r w:rsidRPr="00A16FD0">
        <w:rPr>
          <w:rFonts w:ascii="Arial" w:hAnsi="Arial" w:cs="Arial"/>
        </w:rPr>
        <w:t xml:space="preserve"> 3 </w:t>
      </w:r>
      <w:r>
        <w:rPr>
          <w:rFonts w:ascii="Arial" w:hAnsi="Arial" w:cs="Arial"/>
        </w:rPr>
        <w:t xml:space="preserve">Chwefror </w:t>
      </w:r>
      <w:r w:rsidRPr="00A16FD0">
        <w:rPr>
          <w:rFonts w:ascii="Arial" w:hAnsi="Arial" w:cs="Arial"/>
        </w:rPr>
        <w:t xml:space="preserve"> 2016]. </w:t>
      </w:r>
    </w:p>
  </w:footnote>
  <w:footnote w:id="25">
    <w:p w:rsidR="003F708A" w:rsidRPr="00A16FD0" w:rsidRDefault="003F708A" w:rsidP="001958CF">
      <w:pPr>
        <w:widowControl w:val="0"/>
        <w:tabs>
          <w:tab w:val="left" w:pos="720"/>
        </w:tabs>
        <w:autoSpaceDE w:val="0"/>
        <w:autoSpaceDN w:val="0"/>
        <w:adjustRightInd w:val="0"/>
        <w:spacing w:before="40" w:after="40" w:line="276" w:lineRule="auto"/>
        <w:rPr>
          <w:rFonts w:cs="Arial"/>
          <w:color w:val="000000"/>
          <w:sz w:val="20"/>
          <w:szCs w:val="20"/>
        </w:rPr>
      </w:pPr>
      <w:r w:rsidRPr="00A16FD0">
        <w:rPr>
          <w:rStyle w:val="FootnoteReference"/>
          <w:rFonts w:cs="Arial"/>
          <w:sz w:val="20"/>
          <w:szCs w:val="20"/>
        </w:rPr>
        <w:footnoteRef/>
      </w:r>
      <w:r w:rsidRPr="00A16FD0">
        <w:rPr>
          <w:rFonts w:cs="Arial"/>
          <w:sz w:val="20"/>
          <w:szCs w:val="20"/>
        </w:rPr>
        <w:t xml:space="preserve"> </w:t>
      </w:r>
      <w:r>
        <w:rPr>
          <w:rFonts w:cs="Arial"/>
          <w:sz w:val="20"/>
          <w:szCs w:val="20"/>
        </w:rPr>
        <w:t xml:space="preserve">Pwyllgor Hawliau Dynol y CU </w:t>
      </w:r>
      <w:r w:rsidRPr="00A16FD0">
        <w:rPr>
          <w:rFonts w:cs="Arial"/>
          <w:sz w:val="20"/>
          <w:szCs w:val="20"/>
        </w:rPr>
        <w:t xml:space="preserve">, </w:t>
      </w:r>
      <w:r w:rsidRPr="00831FF7">
        <w:rPr>
          <w:rFonts w:cs="Arial"/>
          <w:sz w:val="20"/>
          <w:szCs w:val="20"/>
        </w:rPr>
        <w:t>sylwadau terfynol ar seithfed adroddiad cyfnodol Teyrnas Unedig Prydain Fawr</w:t>
      </w:r>
      <w:r w:rsidRPr="00A16FD0">
        <w:rPr>
          <w:rFonts w:cs="Arial"/>
          <w:color w:val="000000"/>
          <w:sz w:val="20"/>
          <w:szCs w:val="20"/>
        </w:rPr>
        <w:t xml:space="preserve"> United Kingdom, </w:t>
      </w:r>
      <w:r>
        <w:rPr>
          <w:rFonts w:cs="Arial"/>
          <w:color w:val="000000"/>
          <w:sz w:val="20"/>
          <w:szCs w:val="20"/>
        </w:rPr>
        <w:t>Gorffennaf</w:t>
      </w:r>
      <w:r w:rsidRPr="00A16FD0">
        <w:rPr>
          <w:rFonts w:cs="Arial"/>
          <w:color w:val="000000"/>
          <w:sz w:val="20"/>
          <w:szCs w:val="20"/>
        </w:rPr>
        <w:t xml:space="preserve"> 2015, para 9. </w:t>
      </w:r>
      <w:r>
        <w:rPr>
          <w:rFonts w:cs="Arial"/>
          <w:color w:val="000000"/>
          <w:sz w:val="20"/>
          <w:szCs w:val="20"/>
        </w:rPr>
        <w:t xml:space="preserve">Ar gael o: </w:t>
      </w:r>
      <w:r w:rsidRPr="00A16FD0">
        <w:rPr>
          <w:rFonts w:cs="Arial"/>
          <w:color w:val="000000"/>
          <w:sz w:val="20"/>
          <w:szCs w:val="20"/>
        </w:rPr>
        <w:t xml:space="preserve"> </w:t>
      </w:r>
      <w:hyperlink r:id="rId14" w:history="1">
        <w:r w:rsidRPr="00A16FD0">
          <w:rPr>
            <w:rStyle w:val="Hyperlink"/>
            <w:rFonts w:cs="Arial"/>
            <w:sz w:val="20"/>
            <w:szCs w:val="20"/>
          </w:rPr>
          <w:t>http://www.</w:t>
        </w:r>
        <w:r>
          <w:rPr>
            <w:rStyle w:val="Hyperlink"/>
            <w:rFonts w:cs="Arial"/>
            <w:sz w:val="20"/>
            <w:szCs w:val="20"/>
          </w:rPr>
          <w:t>cydraddoldeb</w:t>
        </w:r>
        <w:r w:rsidRPr="00A16FD0">
          <w:rPr>
            <w:rStyle w:val="Hyperlink"/>
            <w:rFonts w:cs="Arial"/>
            <w:sz w:val="20"/>
            <w:szCs w:val="20"/>
          </w:rPr>
          <w:t>humanrights.com/sites/default/files/uploads/documents/humanrights/UN/CCPRC%20GB%20concluding%20observations%20(1).pdf</w:t>
        </w:r>
      </w:hyperlink>
      <w:r w:rsidRPr="00A16FD0">
        <w:rPr>
          <w:rFonts w:cs="Arial"/>
          <w:color w:val="000000"/>
          <w:sz w:val="20"/>
          <w:szCs w:val="20"/>
        </w:rPr>
        <w:t xml:space="preserve"> [</w:t>
      </w:r>
      <w:r w:rsidR="007911A8" w:rsidRPr="007911A8">
        <w:rPr>
          <w:rFonts w:cs="Arial"/>
          <w:sz w:val="20"/>
          <w:szCs w:val="20"/>
        </w:rPr>
        <w:t>cyrchwyd</w:t>
      </w:r>
      <w:r w:rsidR="007911A8">
        <w:rPr>
          <w:rFonts w:cs="Arial"/>
        </w:rPr>
        <w:t xml:space="preserve">: </w:t>
      </w:r>
      <w:r w:rsidRPr="00A16FD0">
        <w:rPr>
          <w:rFonts w:cs="Arial"/>
          <w:color w:val="000000"/>
          <w:sz w:val="20"/>
          <w:szCs w:val="20"/>
        </w:rPr>
        <w:t xml:space="preserve">3 </w:t>
      </w:r>
      <w:r>
        <w:rPr>
          <w:rFonts w:cs="Arial"/>
          <w:color w:val="000000"/>
          <w:sz w:val="20"/>
          <w:szCs w:val="20"/>
        </w:rPr>
        <w:t xml:space="preserve">Chwefror </w:t>
      </w:r>
      <w:r w:rsidRPr="00A16FD0">
        <w:rPr>
          <w:rFonts w:cs="Arial"/>
          <w:color w:val="000000"/>
          <w:sz w:val="20"/>
          <w:szCs w:val="20"/>
        </w:rPr>
        <w:t xml:space="preserve"> 2016].</w:t>
      </w:r>
    </w:p>
  </w:footnote>
  <w:footnote w:id="26">
    <w:p w:rsidR="003F708A" w:rsidRPr="00A16FD0" w:rsidRDefault="003F708A" w:rsidP="001958CF">
      <w:pPr>
        <w:pStyle w:val="FootnoteText"/>
        <w:widowControl w:val="0"/>
        <w:spacing w:before="40" w:after="40" w:line="276" w:lineRule="auto"/>
        <w:rPr>
          <w:rFonts w:ascii="Arial" w:hAnsi="Arial" w:cs="Arial"/>
        </w:rPr>
      </w:pPr>
      <w:r w:rsidRPr="00A16FD0">
        <w:rPr>
          <w:rStyle w:val="FootnoteReference"/>
          <w:rFonts w:ascii="Arial" w:hAnsi="Arial" w:cs="Arial"/>
        </w:rPr>
        <w:footnoteRef/>
      </w:r>
      <w:r>
        <w:rPr>
          <w:rFonts w:ascii="Arial" w:hAnsi="Arial" w:cs="Arial"/>
        </w:rPr>
        <w:t xml:space="preserve">Archif Newyddion </w:t>
      </w:r>
      <w:r w:rsidRPr="00A16FD0">
        <w:rPr>
          <w:rFonts w:ascii="Arial" w:hAnsi="Arial" w:cs="Arial"/>
        </w:rPr>
        <w:t xml:space="preserve"> </w:t>
      </w:r>
      <w:r>
        <w:rPr>
          <w:rFonts w:ascii="Arial" w:hAnsi="Arial" w:cs="Arial"/>
        </w:rPr>
        <w:t>Pwyllgor Cudd-Wybodaeth a Diogelwch y Senedd</w:t>
      </w:r>
      <w:r w:rsidRPr="00A16FD0">
        <w:rPr>
          <w:rFonts w:ascii="Arial" w:hAnsi="Arial" w:cs="Arial"/>
        </w:rPr>
        <w:t xml:space="preserve">., 29 </w:t>
      </w:r>
      <w:r>
        <w:rPr>
          <w:rFonts w:ascii="Arial" w:hAnsi="Arial" w:cs="Arial"/>
        </w:rPr>
        <w:t>Hydref</w:t>
      </w:r>
      <w:r w:rsidRPr="00A16FD0">
        <w:rPr>
          <w:rFonts w:ascii="Arial" w:hAnsi="Arial" w:cs="Arial"/>
        </w:rPr>
        <w:t xml:space="preserve"> 2015</w:t>
      </w:r>
      <w:r>
        <w:rPr>
          <w:rFonts w:ascii="Arial" w:hAnsi="Arial" w:cs="Arial"/>
        </w:rPr>
        <w:t xml:space="preserve"> </w:t>
      </w:r>
      <w:r w:rsidRPr="00A16FD0">
        <w:rPr>
          <w:rFonts w:ascii="Arial" w:hAnsi="Arial" w:cs="Arial"/>
        </w:rPr>
        <w:t xml:space="preserve"> [</w:t>
      </w:r>
      <w:r>
        <w:rPr>
          <w:rFonts w:ascii="Arial" w:hAnsi="Arial" w:cs="Arial"/>
        </w:rPr>
        <w:t xml:space="preserve">AR-LEIN </w:t>
      </w:r>
      <w:r w:rsidRPr="00A16FD0">
        <w:rPr>
          <w:rFonts w:ascii="Arial" w:hAnsi="Arial" w:cs="Arial"/>
        </w:rPr>
        <w:t xml:space="preserve">] </w:t>
      </w:r>
      <w:r>
        <w:rPr>
          <w:rFonts w:ascii="Arial" w:hAnsi="Arial" w:cs="Arial"/>
        </w:rPr>
        <w:t xml:space="preserve">Ar gael o: </w:t>
      </w:r>
      <w:hyperlink r:id="rId15" w:history="1">
        <w:r w:rsidRPr="00A16FD0">
          <w:rPr>
            <w:rStyle w:val="Hyperlink"/>
            <w:rFonts w:ascii="Arial" w:hAnsi="Arial" w:cs="Arial"/>
          </w:rPr>
          <w:t>http://isc.independent.gov.uk/news-archive/29</w:t>
        </w:r>
        <w:r>
          <w:rPr>
            <w:rStyle w:val="Hyperlink"/>
            <w:rFonts w:ascii="Arial" w:hAnsi="Arial" w:cs="Arial"/>
          </w:rPr>
          <w:t>Hydref</w:t>
        </w:r>
        <w:r w:rsidRPr="00A16FD0">
          <w:rPr>
            <w:rStyle w:val="Hyperlink"/>
            <w:rFonts w:ascii="Arial" w:hAnsi="Arial" w:cs="Arial"/>
          </w:rPr>
          <w:t>2015</w:t>
        </w:r>
      </w:hyperlink>
      <w:r w:rsidRPr="00A16FD0">
        <w:rPr>
          <w:rFonts w:ascii="Arial" w:hAnsi="Arial" w:cs="Arial"/>
        </w:rPr>
        <w:t xml:space="preserve"> [</w:t>
      </w:r>
      <w:r w:rsidR="007911A8">
        <w:rPr>
          <w:rFonts w:ascii="Arial" w:hAnsi="Arial" w:cs="Arial"/>
        </w:rPr>
        <w:t xml:space="preserve">cyrchwyd:  </w:t>
      </w:r>
      <w:r w:rsidRPr="00A16FD0">
        <w:rPr>
          <w:rFonts w:ascii="Arial" w:hAnsi="Arial" w:cs="Arial"/>
        </w:rPr>
        <w:t xml:space="preserve">3 </w:t>
      </w:r>
      <w:r>
        <w:rPr>
          <w:rFonts w:ascii="Arial" w:hAnsi="Arial" w:cs="Arial"/>
        </w:rPr>
        <w:t xml:space="preserve">Chwefror </w:t>
      </w:r>
      <w:r w:rsidRPr="00A16FD0">
        <w:rPr>
          <w:rFonts w:ascii="Arial" w:hAnsi="Arial" w:cs="Arial"/>
        </w:rPr>
        <w:t xml:space="preserve"> 2016].</w:t>
      </w:r>
    </w:p>
  </w:footnote>
  <w:footnote w:id="27">
    <w:p w:rsidR="003F708A" w:rsidRPr="00C212E6" w:rsidRDefault="003F708A">
      <w:pPr>
        <w:pStyle w:val="FootnoteText"/>
        <w:rPr>
          <w:rFonts w:ascii="Arial" w:hAnsi="Arial" w:cs="Arial"/>
        </w:rPr>
      </w:pPr>
      <w:r w:rsidRPr="00C212E6">
        <w:rPr>
          <w:rStyle w:val="FootnoteReference"/>
          <w:rFonts w:ascii="Arial" w:hAnsi="Arial" w:cs="Arial"/>
        </w:rPr>
        <w:footnoteRef/>
      </w:r>
      <w:r w:rsidRPr="00C212E6">
        <w:rPr>
          <w:rFonts w:ascii="Arial" w:hAnsi="Arial" w:cs="Arial"/>
        </w:rPr>
        <w:t xml:space="preserve"> </w:t>
      </w:r>
      <w:r>
        <w:rPr>
          <w:rFonts w:ascii="Arial" w:hAnsi="Arial" w:cs="Arial"/>
        </w:rPr>
        <w:t xml:space="preserve">Gwasanaeth Erlyn y Goron </w:t>
      </w:r>
      <w:r w:rsidRPr="00C212E6">
        <w:rPr>
          <w:rFonts w:ascii="Arial" w:hAnsi="Arial" w:cs="Arial"/>
        </w:rPr>
        <w:t xml:space="preserve">, </w:t>
      </w:r>
      <w:r>
        <w:rPr>
          <w:rFonts w:ascii="Arial" w:hAnsi="Arial" w:cs="Arial"/>
        </w:rPr>
        <w:t>datganiad Gwasanaeth Erlyn y Goron:</w:t>
      </w:r>
      <w:r w:rsidRPr="00C212E6">
        <w:rPr>
          <w:rFonts w:ascii="Arial" w:hAnsi="Arial" w:cs="Arial"/>
        </w:rPr>
        <w:t xml:space="preserve"> Operation Lydd. </w:t>
      </w:r>
      <w:r>
        <w:rPr>
          <w:rFonts w:ascii="Arial" w:hAnsi="Arial" w:cs="Arial"/>
        </w:rPr>
        <w:t xml:space="preserve">Ar gael o: </w:t>
      </w:r>
      <w:r w:rsidRPr="00C212E6">
        <w:rPr>
          <w:rFonts w:ascii="Arial" w:hAnsi="Arial" w:cs="Arial"/>
        </w:rPr>
        <w:t xml:space="preserve"> </w:t>
      </w:r>
      <w:hyperlink r:id="rId16" w:history="1">
        <w:r w:rsidRPr="00C212E6">
          <w:rPr>
            <w:rStyle w:val="Hyperlink"/>
            <w:rFonts w:ascii="Arial" w:hAnsi="Arial" w:cs="Arial"/>
          </w:rPr>
          <w:t>http://www.cps.gov.uk/news/latest_news/crown_prosecution_service_statement_operation_lydd/</w:t>
        </w:r>
      </w:hyperlink>
      <w:r w:rsidRPr="00C212E6">
        <w:rPr>
          <w:rFonts w:ascii="Arial" w:hAnsi="Arial" w:cs="Arial"/>
        </w:rPr>
        <w:t xml:space="preserve"> [ 15 </w:t>
      </w:r>
      <w:r>
        <w:rPr>
          <w:rFonts w:ascii="Arial" w:hAnsi="Arial" w:cs="Arial"/>
        </w:rPr>
        <w:t>Mehefin</w:t>
      </w:r>
      <w:r w:rsidRPr="00C212E6">
        <w:rPr>
          <w:rFonts w:ascii="Arial" w:hAnsi="Arial" w:cs="Arial"/>
        </w:rPr>
        <w:t xml:space="preserve"> 2016]. </w:t>
      </w:r>
    </w:p>
  </w:footnote>
  <w:footnote w:id="28">
    <w:p w:rsidR="003F708A" w:rsidRPr="009223E8" w:rsidRDefault="003F708A" w:rsidP="008E2EA0">
      <w:pPr>
        <w:pStyle w:val="FootnoteText"/>
        <w:rPr>
          <w:rFonts w:ascii="Arial" w:hAnsi="Arial" w:cs="Arial"/>
        </w:rPr>
      </w:pPr>
      <w:r w:rsidRPr="009223E8">
        <w:rPr>
          <w:rStyle w:val="FootnoteReference"/>
          <w:rFonts w:ascii="Arial" w:hAnsi="Arial" w:cs="Arial"/>
        </w:rPr>
        <w:footnoteRef/>
      </w:r>
      <w:r w:rsidRPr="009223E8">
        <w:rPr>
          <w:rFonts w:ascii="Arial" w:hAnsi="Arial" w:cs="Arial"/>
        </w:rPr>
        <w:t xml:space="preserve"> </w:t>
      </w:r>
      <w:r>
        <w:rPr>
          <w:rFonts w:ascii="Arial" w:hAnsi="Arial" w:cs="Arial"/>
        </w:rPr>
        <w:t>Y Weinyddiaeth Amddiffyn, Cyhoeddiad Tîm Honiadau Hanesyddol  Irac</w:t>
      </w:r>
      <w:r w:rsidRPr="009223E8">
        <w:rPr>
          <w:rFonts w:ascii="Arial" w:hAnsi="Arial" w:cs="Arial"/>
        </w:rPr>
        <w:t xml:space="preserve"> </w:t>
      </w:r>
      <w:r>
        <w:rPr>
          <w:rFonts w:ascii="Arial" w:hAnsi="Arial" w:cs="Arial"/>
        </w:rPr>
        <w:t xml:space="preserve">yn dechrau ar eu gwaith, 1 Tachwedd 2010. Ar gael o: </w:t>
      </w:r>
      <w:hyperlink r:id="rId17" w:history="1">
        <w:r w:rsidRPr="00190B44">
          <w:rPr>
            <w:rStyle w:val="Hyperlink"/>
            <w:rFonts w:ascii="Arial" w:hAnsi="Arial" w:cs="Arial"/>
          </w:rPr>
          <w:t>https://www.gov.uk/government/news/</w:t>
        </w:r>
        <w:r>
          <w:rPr>
            <w:rStyle w:val="Hyperlink"/>
            <w:rFonts w:ascii="Arial" w:hAnsi="Arial" w:cs="Arial"/>
          </w:rPr>
          <w:t>Irac</w:t>
        </w:r>
        <w:r w:rsidRPr="00190B44">
          <w:rPr>
            <w:rStyle w:val="Hyperlink"/>
            <w:rFonts w:ascii="Arial" w:hAnsi="Arial" w:cs="Arial"/>
          </w:rPr>
          <w:t>-historic-</w:t>
        </w:r>
        <w:r>
          <w:rPr>
            <w:rStyle w:val="Hyperlink"/>
            <w:rFonts w:ascii="Arial" w:hAnsi="Arial" w:cs="Arial"/>
          </w:rPr>
          <w:t xml:space="preserve">honiadau </w:t>
        </w:r>
        <w:r w:rsidRPr="00190B44">
          <w:rPr>
            <w:rStyle w:val="Hyperlink"/>
            <w:rFonts w:ascii="Arial" w:hAnsi="Arial" w:cs="Arial"/>
          </w:rPr>
          <w:t>-team-starts-work</w:t>
        </w:r>
      </w:hyperlink>
      <w:r>
        <w:rPr>
          <w:rFonts w:ascii="Arial" w:hAnsi="Arial" w:cs="Arial"/>
        </w:rPr>
        <w:t xml:space="preserve"> [</w:t>
      </w:r>
      <w:r w:rsidR="007911A8">
        <w:rPr>
          <w:rFonts w:ascii="Arial" w:hAnsi="Arial" w:cs="Arial"/>
        </w:rPr>
        <w:t xml:space="preserve">cyrchwyd: </w:t>
      </w:r>
      <w:r>
        <w:rPr>
          <w:rFonts w:ascii="Arial" w:hAnsi="Arial" w:cs="Arial"/>
        </w:rPr>
        <w:t>10 Mehefin 2016].</w:t>
      </w:r>
    </w:p>
  </w:footnote>
  <w:footnote w:id="29">
    <w:p w:rsidR="003F708A" w:rsidRPr="00A16FD0" w:rsidRDefault="003F708A" w:rsidP="008E2EA0">
      <w:pPr>
        <w:pStyle w:val="FootnoteText"/>
        <w:widowControl w:val="0"/>
        <w:spacing w:before="40" w:after="40" w:line="276" w:lineRule="auto"/>
        <w:rPr>
          <w:rFonts w:ascii="Arial" w:hAnsi="Arial" w:cs="Arial"/>
        </w:rPr>
      </w:pPr>
      <w:r w:rsidRPr="00A16FD0">
        <w:rPr>
          <w:rStyle w:val="FootnoteReference"/>
          <w:rFonts w:ascii="Arial" w:hAnsi="Arial" w:cs="Arial"/>
        </w:rPr>
        <w:footnoteRef/>
      </w:r>
      <w:r w:rsidRPr="00A16FD0">
        <w:rPr>
          <w:rFonts w:ascii="Arial" w:hAnsi="Arial" w:cs="Arial"/>
        </w:rPr>
        <w:t xml:space="preserve"> </w:t>
      </w:r>
      <w:r>
        <w:rPr>
          <w:rFonts w:ascii="Arial" w:hAnsi="Arial" w:cs="Arial"/>
        </w:rPr>
        <w:t xml:space="preserve">Pwyllgor Hawliau Dynol y CU </w:t>
      </w:r>
      <w:r w:rsidRPr="00A16FD0">
        <w:rPr>
          <w:rFonts w:ascii="Arial" w:hAnsi="Arial" w:cs="Arial"/>
        </w:rPr>
        <w:t xml:space="preserve">, </w:t>
      </w:r>
      <w:r w:rsidRPr="00831FF7">
        <w:rPr>
          <w:rFonts w:ascii="Arial" w:hAnsi="Arial" w:cs="Arial"/>
        </w:rPr>
        <w:t>sylwadau terfynol ar seithfed adroddiad cyfnodol Teyrnas Unedig Prydain Fawr</w:t>
      </w:r>
      <w:r w:rsidRPr="00A16FD0">
        <w:rPr>
          <w:rFonts w:ascii="Arial" w:eastAsia="Calibri" w:hAnsi="Arial" w:cs="Arial"/>
          <w:color w:val="000000"/>
        </w:rPr>
        <w:t xml:space="preserve">, </w:t>
      </w:r>
      <w:r>
        <w:rPr>
          <w:rFonts w:ascii="Arial" w:eastAsia="Calibri" w:hAnsi="Arial" w:cs="Arial"/>
          <w:color w:val="000000"/>
        </w:rPr>
        <w:t>Gorffennaf</w:t>
      </w:r>
      <w:r w:rsidRPr="00A16FD0">
        <w:rPr>
          <w:rFonts w:ascii="Arial" w:eastAsia="Calibri" w:hAnsi="Arial" w:cs="Arial"/>
          <w:color w:val="000000"/>
        </w:rPr>
        <w:t xml:space="preserve"> 2015, para 9. </w:t>
      </w:r>
      <w:r>
        <w:rPr>
          <w:rFonts w:ascii="Arial" w:eastAsia="Calibri" w:hAnsi="Arial" w:cs="Arial"/>
          <w:color w:val="000000"/>
        </w:rPr>
        <w:t xml:space="preserve">Ar gael o: </w:t>
      </w:r>
      <w:hyperlink r:id="rId18" w:history="1">
        <w:r w:rsidRPr="00C70BC4">
          <w:rPr>
            <w:rStyle w:val="Hyperlink"/>
            <w:rFonts w:ascii="Arial" w:eastAsia="Calibri" w:hAnsi="Arial" w:cs="Arial"/>
          </w:rPr>
          <w:t>http://www.cydraddoldebhumanrights.com/about-us/our-work/human-rights/international-framework/international-covenant -civil-and-political-rights</w:t>
        </w:r>
      </w:hyperlink>
      <w:r w:rsidRPr="0069399D">
        <w:rPr>
          <w:rStyle w:val="Hyperlink"/>
          <w:rFonts w:ascii="Arial" w:eastAsia="Calibri" w:hAnsi="Arial" w:cs="Arial"/>
          <w:color w:val="auto"/>
          <w:u w:val="none"/>
        </w:rPr>
        <w:t xml:space="preserve"> [</w:t>
      </w:r>
      <w:r w:rsidR="007911A8">
        <w:rPr>
          <w:rFonts w:ascii="Arial" w:hAnsi="Arial" w:cs="Arial"/>
        </w:rPr>
        <w:t xml:space="preserve">cyrchwyd: </w:t>
      </w:r>
      <w:r w:rsidRPr="0069399D">
        <w:rPr>
          <w:rStyle w:val="Hyperlink"/>
          <w:rFonts w:ascii="Arial" w:eastAsia="Calibri" w:hAnsi="Arial" w:cs="Arial"/>
          <w:color w:val="auto"/>
          <w:u w:val="none"/>
        </w:rPr>
        <w:t xml:space="preserve"> 2 </w:t>
      </w:r>
      <w:r>
        <w:rPr>
          <w:rStyle w:val="Hyperlink"/>
          <w:rFonts w:ascii="Arial" w:eastAsia="Calibri" w:hAnsi="Arial" w:cs="Arial"/>
          <w:color w:val="auto"/>
          <w:u w:val="none"/>
        </w:rPr>
        <w:t xml:space="preserve">Chwefror </w:t>
      </w:r>
      <w:r w:rsidRPr="0069399D">
        <w:rPr>
          <w:rStyle w:val="Hyperlink"/>
          <w:rFonts w:ascii="Arial" w:eastAsia="Calibri" w:hAnsi="Arial" w:cs="Arial"/>
          <w:color w:val="auto"/>
          <w:u w:val="none"/>
        </w:rPr>
        <w:t xml:space="preserve"> 2016].</w:t>
      </w:r>
    </w:p>
  </w:footnote>
  <w:footnote w:id="30">
    <w:p w:rsidR="003F708A" w:rsidRPr="00A16FD0" w:rsidRDefault="003F708A" w:rsidP="008E2EA0">
      <w:pPr>
        <w:widowControl w:val="0"/>
        <w:tabs>
          <w:tab w:val="left" w:pos="720"/>
        </w:tabs>
        <w:autoSpaceDE w:val="0"/>
        <w:autoSpaceDN w:val="0"/>
        <w:adjustRightInd w:val="0"/>
        <w:spacing w:before="40" w:after="40" w:line="276" w:lineRule="auto"/>
        <w:rPr>
          <w:rFonts w:cs="Arial"/>
          <w:color w:val="000000"/>
          <w:sz w:val="20"/>
          <w:szCs w:val="20"/>
        </w:rPr>
      </w:pPr>
      <w:r w:rsidRPr="00A16FD0">
        <w:rPr>
          <w:rStyle w:val="FootnoteReference"/>
          <w:rFonts w:cs="Arial"/>
          <w:sz w:val="20"/>
          <w:szCs w:val="20"/>
        </w:rPr>
        <w:footnoteRef/>
      </w:r>
      <w:r w:rsidRPr="00A16FD0">
        <w:rPr>
          <w:rFonts w:cs="Arial"/>
          <w:sz w:val="20"/>
          <w:szCs w:val="20"/>
        </w:rPr>
        <w:t xml:space="preserve"> </w:t>
      </w:r>
      <w:r>
        <w:rPr>
          <w:rFonts w:cs="Arial"/>
          <w:sz w:val="20"/>
          <w:szCs w:val="20"/>
        </w:rPr>
        <w:t>Mai</w:t>
      </w:r>
      <w:r w:rsidRPr="00A16FD0">
        <w:rPr>
          <w:rFonts w:cs="Arial"/>
          <w:sz w:val="20"/>
          <w:szCs w:val="20"/>
        </w:rPr>
        <w:t xml:space="preserve"> 2016</w:t>
      </w:r>
      <w:r w:rsidR="009D39A2">
        <w:rPr>
          <w:rFonts w:cs="Arial"/>
          <w:sz w:val="20"/>
          <w:szCs w:val="20"/>
        </w:rPr>
        <w:t xml:space="preserve"> </w:t>
      </w:r>
      <w:r>
        <w:rPr>
          <w:rFonts w:cs="Arial"/>
          <w:sz w:val="20"/>
          <w:szCs w:val="20"/>
        </w:rPr>
        <w:t>cyfeiriad at</w:t>
      </w:r>
      <w:r w:rsidRPr="00A16FD0">
        <w:rPr>
          <w:rFonts w:cs="Arial"/>
          <w:sz w:val="20"/>
          <w:szCs w:val="20"/>
        </w:rPr>
        <w:t xml:space="preserve"> </w:t>
      </w:r>
      <w:r>
        <w:rPr>
          <w:rFonts w:cs="Arial"/>
          <w:sz w:val="20"/>
          <w:szCs w:val="20"/>
        </w:rPr>
        <w:t>ddiweddariad ystadegau 6</w:t>
      </w:r>
      <w:r w:rsidRPr="00A16FD0">
        <w:rPr>
          <w:rFonts w:cs="Arial"/>
          <w:sz w:val="20"/>
          <w:szCs w:val="20"/>
        </w:rPr>
        <w:t xml:space="preserve"> </w:t>
      </w:r>
      <w:r>
        <w:rPr>
          <w:rFonts w:cs="Arial"/>
          <w:sz w:val="20"/>
          <w:szCs w:val="20"/>
        </w:rPr>
        <w:t>Mai 2016</w:t>
      </w:r>
      <w:r w:rsidRPr="00A16FD0">
        <w:rPr>
          <w:rFonts w:cs="Arial"/>
          <w:sz w:val="20"/>
          <w:szCs w:val="20"/>
        </w:rPr>
        <w:t xml:space="preserve">. </w:t>
      </w:r>
      <w:r>
        <w:rPr>
          <w:rFonts w:cs="Arial"/>
          <w:sz w:val="20"/>
          <w:szCs w:val="20"/>
        </w:rPr>
        <w:t xml:space="preserve">Y Weinyddiaeth Amddiffyn </w:t>
      </w:r>
      <w:r w:rsidRPr="00A16FD0">
        <w:rPr>
          <w:rFonts w:cs="Arial"/>
          <w:sz w:val="20"/>
          <w:szCs w:val="20"/>
        </w:rPr>
        <w:t xml:space="preserve"> (2014), </w:t>
      </w:r>
      <w:r>
        <w:rPr>
          <w:rFonts w:cs="Arial"/>
          <w:sz w:val="20"/>
          <w:szCs w:val="20"/>
        </w:rPr>
        <w:t xml:space="preserve">diweddariad chwarterol Tîm Hanesyddol Honiadau </w:t>
      </w:r>
      <w:r>
        <w:rPr>
          <w:rFonts w:cs="Arial"/>
          <w:color w:val="000000"/>
          <w:sz w:val="20"/>
          <w:szCs w:val="20"/>
        </w:rPr>
        <w:t>Irac</w:t>
      </w:r>
      <w:r w:rsidRPr="00A16FD0">
        <w:rPr>
          <w:rFonts w:cs="Arial"/>
          <w:color w:val="000000"/>
          <w:sz w:val="20"/>
          <w:szCs w:val="20"/>
        </w:rPr>
        <w:t xml:space="preserve">: </w:t>
      </w:r>
      <w:r>
        <w:rPr>
          <w:rFonts w:cs="Arial"/>
          <w:color w:val="000000"/>
          <w:sz w:val="20"/>
          <w:szCs w:val="20"/>
        </w:rPr>
        <w:t>Ionawr i Fawrth Mawrth 2016</w:t>
      </w:r>
      <w:r w:rsidRPr="00A16FD0">
        <w:rPr>
          <w:rFonts w:cs="Arial"/>
          <w:color w:val="000000"/>
          <w:sz w:val="20"/>
          <w:szCs w:val="20"/>
        </w:rPr>
        <w:t xml:space="preserve">. </w:t>
      </w:r>
      <w:r>
        <w:rPr>
          <w:rFonts w:cs="Arial"/>
          <w:color w:val="000000"/>
          <w:sz w:val="20"/>
          <w:szCs w:val="20"/>
        </w:rPr>
        <w:t xml:space="preserve">Ar gael o: </w:t>
      </w:r>
      <w:hyperlink r:id="rId19" w:history="1">
        <w:r w:rsidRPr="00C70BC4">
          <w:rPr>
            <w:rStyle w:val="Hyperlink"/>
            <w:rFonts w:cs="Arial"/>
            <w:sz w:val="20"/>
            <w:szCs w:val="20"/>
          </w:rPr>
          <w:t>https://www.gov.uk/government/publications/Irac-historic-allegations -team-quarterly-updates</w:t>
        </w:r>
      </w:hyperlink>
      <w:r w:rsidRPr="00A16FD0">
        <w:rPr>
          <w:rFonts w:cs="Arial"/>
          <w:color w:val="000000"/>
          <w:sz w:val="20"/>
          <w:szCs w:val="20"/>
        </w:rPr>
        <w:t xml:space="preserve"> </w:t>
      </w:r>
      <w:r>
        <w:rPr>
          <w:rFonts w:cs="Arial"/>
          <w:color w:val="000000"/>
          <w:sz w:val="20"/>
          <w:szCs w:val="20"/>
        </w:rPr>
        <w:t>[</w:t>
      </w:r>
      <w:r w:rsidR="007911A8" w:rsidRPr="007911A8">
        <w:rPr>
          <w:rFonts w:cs="Arial"/>
          <w:sz w:val="20"/>
          <w:szCs w:val="20"/>
        </w:rPr>
        <w:t>cyrchwyd:</w:t>
      </w:r>
      <w:r w:rsidR="007911A8">
        <w:rPr>
          <w:rFonts w:cs="Arial"/>
        </w:rPr>
        <w:t xml:space="preserve"> </w:t>
      </w:r>
      <w:r>
        <w:rPr>
          <w:rFonts w:cs="Arial"/>
          <w:color w:val="000000"/>
          <w:sz w:val="20"/>
          <w:szCs w:val="20"/>
        </w:rPr>
        <w:t>6</w:t>
      </w:r>
      <w:r w:rsidRPr="00A16FD0">
        <w:rPr>
          <w:rFonts w:cs="Arial"/>
          <w:color w:val="000000"/>
          <w:sz w:val="20"/>
          <w:szCs w:val="20"/>
        </w:rPr>
        <w:t xml:space="preserve"> </w:t>
      </w:r>
      <w:r>
        <w:rPr>
          <w:rFonts w:cs="Arial"/>
          <w:color w:val="000000"/>
          <w:sz w:val="20"/>
          <w:szCs w:val="20"/>
        </w:rPr>
        <w:t>Mehefin</w:t>
      </w:r>
      <w:r w:rsidRPr="00A16FD0">
        <w:rPr>
          <w:rFonts w:cs="Arial"/>
          <w:color w:val="000000"/>
          <w:sz w:val="20"/>
          <w:szCs w:val="20"/>
        </w:rPr>
        <w:t xml:space="preserve"> 2016].</w:t>
      </w:r>
    </w:p>
  </w:footnote>
  <w:footnote w:id="31">
    <w:p w:rsidR="003F708A" w:rsidRPr="00A16FD0" w:rsidRDefault="003F708A" w:rsidP="008E2EA0">
      <w:pPr>
        <w:widowControl w:val="0"/>
        <w:tabs>
          <w:tab w:val="left" w:pos="720"/>
        </w:tabs>
        <w:autoSpaceDE w:val="0"/>
        <w:autoSpaceDN w:val="0"/>
        <w:adjustRightInd w:val="0"/>
        <w:spacing w:before="40" w:after="40" w:line="276" w:lineRule="auto"/>
        <w:rPr>
          <w:rFonts w:cs="Arial"/>
          <w:color w:val="000000"/>
          <w:sz w:val="20"/>
          <w:szCs w:val="20"/>
        </w:rPr>
      </w:pPr>
      <w:r w:rsidRPr="00A16FD0">
        <w:rPr>
          <w:rStyle w:val="FootnoteReference"/>
          <w:rFonts w:cs="Arial"/>
          <w:sz w:val="20"/>
          <w:szCs w:val="20"/>
        </w:rPr>
        <w:footnoteRef/>
      </w:r>
      <w:r w:rsidRPr="00A16FD0">
        <w:rPr>
          <w:rFonts w:cs="Arial"/>
          <w:sz w:val="20"/>
          <w:szCs w:val="20"/>
        </w:rPr>
        <w:t xml:space="preserve"> </w:t>
      </w:r>
      <w:r w:rsidRPr="00A16FD0">
        <w:rPr>
          <w:rFonts w:cs="Arial"/>
          <w:bCs/>
          <w:sz w:val="20"/>
          <w:szCs w:val="20"/>
        </w:rPr>
        <w:t xml:space="preserve">EHRC, </w:t>
      </w:r>
      <w:r>
        <w:rPr>
          <w:rFonts w:cs="Arial"/>
          <w:bCs/>
          <w:sz w:val="20"/>
          <w:szCs w:val="20"/>
        </w:rPr>
        <w:t>Datganiad ar Weithrediad y DU o’r Cyfamod ar Hawliau Sifil a Gwleidyddol</w:t>
      </w:r>
      <w:r w:rsidRPr="00A16FD0">
        <w:rPr>
          <w:rFonts w:cs="Arial"/>
          <w:bCs/>
          <w:sz w:val="20"/>
          <w:szCs w:val="20"/>
        </w:rPr>
        <w:t xml:space="preserve">, </w:t>
      </w:r>
      <w:r>
        <w:rPr>
          <w:rFonts w:cs="Arial"/>
          <w:bCs/>
          <w:sz w:val="20"/>
          <w:szCs w:val="20"/>
        </w:rPr>
        <w:t>Mehefin</w:t>
      </w:r>
      <w:r w:rsidRPr="00A16FD0">
        <w:rPr>
          <w:rFonts w:cs="Arial"/>
          <w:bCs/>
          <w:sz w:val="20"/>
          <w:szCs w:val="20"/>
        </w:rPr>
        <w:t xml:space="preserve"> 2015. </w:t>
      </w:r>
      <w:r>
        <w:rPr>
          <w:rFonts w:cs="Arial"/>
          <w:bCs/>
          <w:sz w:val="20"/>
          <w:szCs w:val="20"/>
        </w:rPr>
        <w:t xml:space="preserve">Ar gael o: </w:t>
      </w:r>
      <w:hyperlink r:id="rId20" w:history="1">
        <w:r w:rsidRPr="00C70BC4">
          <w:rPr>
            <w:rStyle w:val="Hyperlink"/>
            <w:rFonts w:cs="Arial"/>
            <w:sz w:val="20"/>
            <w:szCs w:val="20"/>
          </w:rPr>
          <w:t>http://www.cydraddoldebhumanrights.com/about-us/our-work/human-rights/international-framework/international-covenant -civil-and-political-rights</w:t>
        </w:r>
      </w:hyperlink>
      <w:r w:rsidRPr="00254F06">
        <w:rPr>
          <w:rStyle w:val="Hyperlink"/>
          <w:rFonts w:cs="Arial"/>
          <w:color w:val="auto"/>
          <w:sz w:val="20"/>
          <w:szCs w:val="20"/>
          <w:u w:val="none"/>
        </w:rPr>
        <w:t xml:space="preserve"> [ 2 </w:t>
      </w:r>
      <w:r>
        <w:rPr>
          <w:rStyle w:val="Hyperlink"/>
          <w:rFonts w:cs="Arial"/>
          <w:color w:val="auto"/>
          <w:sz w:val="20"/>
          <w:szCs w:val="20"/>
          <w:u w:val="none"/>
        </w:rPr>
        <w:t xml:space="preserve">Chwefror </w:t>
      </w:r>
      <w:r w:rsidRPr="00254F06">
        <w:rPr>
          <w:rStyle w:val="Hyperlink"/>
          <w:rFonts w:cs="Arial"/>
          <w:color w:val="auto"/>
          <w:sz w:val="20"/>
          <w:szCs w:val="20"/>
          <w:u w:val="none"/>
        </w:rPr>
        <w:t xml:space="preserve"> 2016]</w:t>
      </w:r>
      <w:r w:rsidRPr="0069399D">
        <w:rPr>
          <w:rFonts w:cs="Arial"/>
          <w:bCs/>
          <w:sz w:val="20"/>
          <w:szCs w:val="20"/>
        </w:rPr>
        <w:t>;</w:t>
      </w:r>
      <w:r w:rsidRPr="00A16FD0">
        <w:rPr>
          <w:rFonts w:cs="Arial"/>
          <w:bCs/>
          <w:sz w:val="20"/>
          <w:szCs w:val="20"/>
        </w:rPr>
        <w:t xml:space="preserve"> </w:t>
      </w:r>
      <w:r>
        <w:rPr>
          <w:rFonts w:cs="Arial"/>
          <w:bCs/>
          <w:sz w:val="20"/>
          <w:szCs w:val="20"/>
        </w:rPr>
        <w:t xml:space="preserve">Y Weinyddiaeth Amddiffyn </w:t>
      </w:r>
      <w:r w:rsidRPr="00A16FD0">
        <w:rPr>
          <w:rFonts w:cs="Arial"/>
          <w:bCs/>
          <w:sz w:val="20"/>
          <w:szCs w:val="20"/>
        </w:rPr>
        <w:t xml:space="preserve"> (2013), ‘IHAT work completed’. </w:t>
      </w:r>
      <w:r>
        <w:rPr>
          <w:rFonts w:cs="Arial"/>
          <w:bCs/>
          <w:sz w:val="20"/>
          <w:szCs w:val="20"/>
        </w:rPr>
        <w:t xml:space="preserve">Ar gael o: </w:t>
      </w:r>
      <w:hyperlink r:id="rId21" w:history="1">
        <w:r w:rsidRPr="00A16FD0">
          <w:rPr>
            <w:rStyle w:val="Hyperlink"/>
            <w:rFonts w:cs="Arial"/>
            <w:sz w:val="20"/>
            <w:szCs w:val="20"/>
          </w:rPr>
          <w:t>https://www.gov.uk/government/publications/ihat-work-completed</w:t>
        </w:r>
      </w:hyperlink>
      <w:r w:rsidRPr="00A16FD0">
        <w:rPr>
          <w:rFonts w:cs="Arial"/>
          <w:bCs/>
          <w:sz w:val="20"/>
          <w:szCs w:val="20"/>
        </w:rPr>
        <w:t xml:space="preserve"> [</w:t>
      </w:r>
      <w:r w:rsidR="007911A8" w:rsidRPr="007911A8">
        <w:rPr>
          <w:rFonts w:cs="Arial"/>
          <w:sz w:val="20"/>
          <w:szCs w:val="20"/>
        </w:rPr>
        <w:t>cyrchwyd:</w:t>
      </w:r>
      <w:r w:rsidR="007911A8">
        <w:rPr>
          <w:rFonts w:cs="Arial"/>
        </w:rPr>
        <w:t xml:space="preserve"> </w:t>
      </w:r>
      <w:r w:rsidRPr="00A16FD0">
        <w:rPr>
          <w:rFonts w:cs="Arial"/>
          <w:bCs/>
          <w:sz w:val="20"/>
          <w:szCs w:val="20"/>
        </w:rPr>
        <w:t xml:space="preserve">2 </w:t>
      </w:r>
      <w:r>
        <w:rPr>
          <w:rFonts w:cs="Arial"/>
          <w:bCs/>
          <w:sz w:val="20"/>
          <w:szCs w:val="20"/>
        </w:rPr>
        <w:t xml:space="preserve">Chwefror </w:t>
      </w:r>
      <w:r w:rsidRPr="00A16FD0">
        <w:rPr>
          <w:rFonts w:cs="Arial"/>
          <w:bCs/>
          <w:sz w:val="20"/>
          <w:szCs w:val="20"/>
        </w:rPr>
        <w:t xml:space="preserve"> 2016].</w:t>
      </w:r>
    </w:p>
  </w:footnote>
  <w:footnote w:id="32">
    <w:p w:rsidR="003F708A" w:rsidRDefault="003F708A">
      <w:pPr>
        <w:pStyle w:val="FootnoteText"/>
      </w:pPr>
      <w:r w:rsidRPr="00734057">
        <w:rPr>
          <w:rStyle w:val="FootnoteReference"/>
          <w:rFonts w:ascii="Arial" w:hAnsi="Arial" w:cs="Arial"/>
        </w:rPr>
        <w:footnoteRef/>
      </w:r>
      <w:r>
        <w:t xml:space="preserve"> </w:t>
      </w:r>
      <w:r>
        <w:rPr>
          <w:rFonts w:ascii="Arial" w:hAnsi="Arial" w:cs="Arial"/>
        </w:rPr>
        <w:t xml:space="preserve">Pwyllgor Hawliau Dynol y CU </w:t>
      </w:r>
      <w:r w:rsidRPr="00A16FD0">
        <w:rPr>
          <w:rFonts w:ascii="Arial" w:hAnsi="Arial" w:cs="Arial"/>
        </w:rPr>
        <w:t xml:space="preserve">, </w:t>
      </w:r>
      <w:r w:rsidRPr="00A16FD0">
        <w:rPr>
          <w:rFonts w:ascii="Arial" w:eastAsia="Calibri" w:hAnsi="Arial" w:cs="Arial"/>
          <w:color w:val="000000"/>
        </w:rPr>
        <w:t xml:space="preserve">Concluding observations on the seventh periodic report of the United Kingdom, </w:t>
      </w:r>
      <w:r>
        <w:rPr>
          <w:rFonts w:ascii="Arial" w:eastAsia="Calibri" w:hAnsi="Arial" w:cs="Arial"/>
          <w:color w:val="000000"/>
        </w:rPr>
        <w:t>Gorffennaf</w:t>
      </w:r>
      <w:r w:rsidRPr="00A16FD0">
        <w:rPr>
          <w:rFonts w:ascii="Arial" w:eastAsia="Calibri" w:hAnsi="Arial" w:cs="Arial"/>
          <w:color w:val="000000"/>
        </w:rPr>
        <w:t xml:space="preserve"> 2015, para 9. </w:t>
      </w:r>
      <w:r>
        <w:rPr>
          <w:rFonts w:ascii="Arial" w:eastAsia="Calibri" w:hAnsi="Arial" w:cs="Arial"/>
          <w:color w:val="000000"/>
        </w:rPr>
        <w:t xml:space="preserve">Ar gael o: </w:t>
      </w:r>
      <w:hyperlink r:id="rId22" w:history="1">
        <w:r w:rsidRPr="00C70BC4">
          <w:rPr>
            <w:rStyle w:val="Hyperlink"/>
            <w:rFonts w:ascii="Arial" w:eastAsia="Calibri" w:hAnsi="Arial" w:cs="Arial"/>
          </w:rPr>
          <w:t>http://www.cydraddoldebhumanrights.com/about-us/our-work/human-rights/international-framework/international-Cyfay Weinyddiaeth Amddiffyn -civil-and-political-rights</w:t>
        </w:r>
      </w:hyperlink>
      <w:r w:rsidRPr="0069399D">
        <w:rPr>
          <w:rStyle w:val="Hyperlink"/>
          <w:rFonts w:ascii="Arial" w:eastAsia="Calibri" w:hAnsi="Arial" w:cs="Arial"/>
          <w:color w:val="auto"/>
          <w:u w:val="none"/>
        </w:rPr>
        <w:t xml:space="preserve"> [ 2 </w:t>
      </w:r>
      <w:r>
        <w:rPr>
          <w:rStyle w:val="Hyperlink"/>
          <w:rFonts w:ascii="Arial" w:eastAsia="Calibri" w:hAnsi="Arial" w:cs="Arial"/>
          <w:color w:val="auto"/>
          <w:u w:val="none"/>
        </w:rPr>
        <w:t xml:space="preserve">Chwefror </w:t>
      </w:r>
      <w:r w:rsidRPr="0069399D">
        <w:rPr>
          <w:rStyle w:val="Hyperlink"/>
          <w:rFonts w:ascii="Arial" w:eastAsia="Calibri" w:hAnsi="Arial" w:cs="Arial"/>
          <w:color w:val="auto"/>
          <w:u w:val="none"/>
        </w:rPr>
        <w:t xml:space="preserv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74" w:rsidRDefault="00302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74" w:rsidRPr="005B51ED" w:rsidRDefault="005B51ED" w:rsidP="00302174">
    <w:pPr>
      <w:pStyle w:val="Header"/>
      <w:rPr>
        <w:sz w:val="20"/>
        <w:szCs w:val="20"/>
      </w:rPr>
    </w:pPr>
    <w:r w:rsidRPr="005B51ED">
      <w:rPr>
        <w:sz w:val="20"/>
        <w:szCs w:val="20"/>
      </w:rPr>
      <w:t>Hawliau dynol a’r lluoedd arfog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74" w:rsidRPr="00302174" w:rsidRDefault="00302174">
    <w:pPr>
      <w:pStyle w:val="Header"/>
    </w:pPr>
    <w:r w:rsidRPr="00302174">
      <w:rPr>
        <w:sz w:val="24"/>
        <w:szCs w:val="24"/>
      </w:rPr>
      <w:t>Comisiwn Cydraddoldeb a Hawliau Dynol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E28D5"/>
    <w:multiLevelType w:val="hybridMultilevel"/>
    <w:tmpl w:val="364E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810B1"/>
    <w:multiLevelType w:val="hybridMultilevel"/>
    <w:tmpl w:val="44FE11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32299D"/>
    <w:multiLevelType w:val="hybridMultilevel"/>
    <w:tmpl w:val="64C8D8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440107"/>
    <w:multiLevelType w:val="hybridMultilevel"/>
    <w:tmpl w:val="ECA2AA8E"/>
    <w:lvl w:ilvl="0" w:tplc="BC721C8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9904E6"/>
    <w:multiLevelType w:val="hybridMultilevel"/>
    <w:tmpl w:val="11542030"/>
    <w:lvl w:ilvl="0" w:tplc="0809000F">
      <w:start w:val="1"/>
      <w:numFmt w:val="decimal"/>
      <w:lvlText w:val="%1."/>
      <w:lvlJc w:val="left"/>
      <w:pPr>
        <w:ind w:left="643"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B902CE"/>
    <w:multiLevelType w:val="hybridMultilevel"/>
    <w:tmpl w:val="DC5E8A48"/>
    <w:lvl w:ilvl="0" w:tplc="88D6E7CC">
      <w:start w:val="1"/>
      <w:numFmt w:val="decimal"/>
      <w:pStyle w:val="Numberedlistlastingroup"/>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0A6490"/>
    <w:multiLevelType w:val="hybridMultilevel"/>
    <w:tmpl w:val="67EAF210"/>
    <w:lvl w:ilvl="0" w:tplc="BC721C8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EA60425"/>
    <w:multiLevelType w:val="hybridMultilevel"/>
    <w:tmpl w:val="3EF8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0180E"/>
    <w:multiLevelType w:val="hybridMultilevel"/>
    <w:tmpl w:val="1B74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44437B"/>
    <w:multiLevelType w:val="hybridMultilevel"/>
    <w:tmpl w:val="84789396"/>
    <w:lvl w:ilvl="0" w:tplc="7DD033CA">
      <w:start w:val="1"/>
      <w:numFmt w:val="decimal"/>
      <w:lvlText w:val="%1."/>
      <w:lvlJc w:val="left"/>
      <w:pPr>
        <w:ind w:left="360" w:hanging="360"/>
      </w:pPr>
      <w:rPr>
        <w:rFonts w:ascii="Arial" w:hAnsi="Arial" w:cs="Arial" w:hint="default"/>
        <w:b w:val="0"/>
        <w:i w:val="0"/>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7B9847A4"/>
    <w:multiLevelType w:val="hybridMultilevel"/>
    <w:tmpl w:val="4A32B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F6767D4"/>
    <w:multiLevelType w:val="hybridMultilevel"/>
    <w:tmpl w:val="0314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6"/>
  </w:num>
  <w:num w:numId="9">
    <w:abstractNumId w:val="1"/>
  </w:num>
  <w:num w:numId="10">
    <w:abstractNumId w:val="4"/>
  </w:num>
  <w:num w:numId="11">
    <w:abstractNumId w:val="1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96"/>
    <w:rsid w:val="0000085F"/>
    <w:rsid w:val="00004E4D"/>
    <w:rsid w:val="000055CD"/>
    <w:rsid w:val="00024B0C"/>
    <w:rsid w:val="000441EB"/>
    <w:rsid w:val="000446D8"/>
    <w:rsid w:val="000607B0"/>
    <w:rsid w:val="00066184"/>
    <w:rsid w:val="00071EBA"/>
    <w:rsid w:val="00073576"/>
    <w:rsid w:val="00074922"/>
    <w:rsid w:val="0008012F"/>
    <w:rsid w:val="00087D7B"/>
    <w:rsid w:val="000A592D"/>
    <w:rsid w:val="000A6819"/>
    <w:rsid w:val="000B0805"/>
    <w:rsid w:val="000B4DD0"/>
    <w:rsid w:val="000C55D1"/>
    <w:rsid w:val="000E404A"/>
    <w:rsid w:val="000F24EC"/>
    <w:rsid w:val="00104B11"/>
    <w:rsid w:val="00107240"/>
    <w:rsid w:val="00107D7E"/>
    <w:rsid w:val="0012298D"/>
    <w:rsid w:val="001233C5"/>
    <w:rsid w:val="00130C52"/>
    <w:rsid w:val="00132967"/>
    <w:rsid w:val="00132ED2"/>
    <w:rsid w:val="00145643"/>
    <w:rsid w:val="001530D7"/>
    <w:rsid w:val="001549AB"/>
    <w:rsid w:val="0015604F"/>
    <w:rsid w:val="00163A65"/>
    <w:rsid w:val="00185C4F"/>
    <w:rsid w:val="00190C4E"/>
    <w:rsid w:val="001958CF"/>
    <w:rsid w:val="0019662C"/>
    <w:rsid w:val="00196B91"/>
    <w:rsid w:val="001A221C"/>
    <w:rsid w:val="001D4318"/>
    <w:rsid w:val="001E6B83"/>
    <w:rsid w:val="001F7693"/>
    <w:rsid w:val="00207379"/>
    <w:rsid w:val="002223FF"/>
    <w:rsid w:val="00232409"/>
    <w:rsid w:val="00237BC3"/>
    <w:rsid w:val="0024111B"/>
    <w:rsid w:val="00243278"/>
    <w:rsid w:val="00245C87"/>
    <w:rsid w:val="00254F06"/>
    <w:rsid w:val="00267942"/>
    <w:rsid w:val="00272428"/>
    <w:rsid w:val="00280D33"/>
    <w:rsid w:val="00282099"/>
    <w:rsid w:val="002835FF"/>
    <w:rsid w:val="00294B9D"/>
    <w:rsid w:val="002951F3"/>
    <w:rsid w:val="002A4D57"/>
    <w:rsid w:val="002B3885"/>
    <w:rsid w:val="002B4CEB"/>
    <w:rsid w:val="002D5DC6"/>
    <w:rsid w:val="002E5361"/>
    <w:rsid w:val="002E6A3D"/>
    <w:rsid w:val="002F2128"/>
    <w:rsid w:val="002F3634"/>
    <w:rsid w:val="002F3DCF"/>
    <w:rsid w:val="002F52A9"/>
    <w:rsid w:val="002F6987"/>
    <w:rsid w:val="00302174"/>
    <w:rsid w:val="00321305"/>
    <w:rsid w:val="003278E7"/>
    <w:rsid w:val="003405DF"/>
    <w:rsid w:val="0034248C"/>
    <w:rsid w:val="003443A6"/>
    <w:rsid w:val="00345706"/>
    <w:rsid w:val="003639F1"/>
    <w:rsid w:val="00385798"/>
    <w:rsid w:val="00390F83"/>
    <w:rsid w:val="00397CBA"/>
    <w:rsid w:val="003A3225"/>
    <w:rsid w:val="003A3B5A"/>
    <w:rsid w:val="003A52E1"/>
    <w:rsid w:val="003A64AE"/>
    <w:rsid w:val="003A79C2"/>
    <w:rsid w:val="003B0C34"/>
    <w:rsid w:val="003B1986"/>
    <w:rsid w:val="003B5A3C"/>
    <w:rsid w:val="003C5B9B"/>
    <w:rsid w:val="003E2B8A"/>
    <w:rsid w:val="003F708A"/>
    <w:rsid w:val="004003B7"/>
    <w:rsid w:val="004018C5"/>
    <w:rsid w:val="00407EA1"/>
    <w:rsid w:val="00411C61"/>
    <w:rsid w:val="00412BFC"/>
    <w:rsid w:val="00420898"/>
    <w:rsid w:val="00422A87"/>
    <w:rsid w:val="00446A1E"/>
    <w:rsid w:val="0045013D"/>
    <w:rsid w:val="00456A2B"/>
    <w:rsid w:val="00462082"/>
    <w:rsid w:val="00462136"/>
    <w:rsid w:val="0046467C"/>
    <w:rsid w:val="00471A37"/>
    <w:rsid w:val="004724A0"/>
    <w:rsid w:val="00474A46"/>
    <w:rsid w:val="00477458"/>
    <w:rsid w:val="004778B9"/>
    <w:rsid w:val="00481179"/>
    <w:rsid w:val="004850ED"/>
    <w:rsid w:val="00485912"/>
    <w:rsid w:val="00494BED"/>
    <w:rsid w:val="004A012A"/>
    <w:rsid w:val="004A29A7"/>
    <w:rsid w:val="004A5642"/>
    <w:rsid w:val="004B0DC8"/>
    <w:rsid w:val="004C1AE8"/>
    <w:rsid w:val="004C4D39"/>
    <w:rsid w:val="004C7F24"/>
    <w:rsid w:val="004D70FC"/>
    <w:rsid w:val="004E38F3"/>
    <w:rsid w:val="004E5E8B"/>
    <w:rsid w:val="004F6234"/>
    <w:rsid w:val="004F7707"/>
    <w:rsid w:val="00502CF1"/>
    <w:rsid w:val="00511FC9"/>
    <w:rsid w:val="00521473"/>
    <w:rsid w:val="0053535F"/>
    <w:rsid w:val="0053593F"/>
    <w:rsid w:val="00551AB7"/>
    <w:rsid w:val="00553EC4"/>
    <w:rsid w:val="005612B7"/>
    <w:rsid w:val="00561396"/>
    <w:rsid w:val="0056759D"/>
    <w:rsid w:val="00570431"/>
    <w:rsid w:val="00572C1A"/>
    <w:rsid w:val="00580A6A"/>
    <w:rsid w:val="00583BC5"/>
    <w:rsid w:val="00586348"/>
    <w:rsid w:val="005A5283"/>
    <w:rsid w:val="005B51ED"/>
    <w:rsid w:val="005E0622"/>
    <w:rsid w:val="005E2AEB"/>
    <w:rsid w:val="005E32B9"/>
    <w:rsid w:val="005E584E"/>
    <w:rsid w:val="005F1AB3"/>
    <w:rsid w:val="005F550B"/>
    <w:rsid w:val="005F58DB"/>
    <w:rsid w:val="005F7762"/>
    <w:rsid w:val="00604183"/>
    <w:rsid w:val="00606B91"/>
    <w:rsid w:val="006234A9"/>
    <w:rsid w:val="00624443"/>
    <w:rsid w:val="00627A82"/>
    <w:rsid w:val="00636810"/>
    <w:rsid w:val="0064663F"/>
    <w:rsid w:val="00646A67"/>
    <w:rsid w:val="0069188E"/>
    <w:rsid w:val="00691940"/>
    <w:rsid w:val="00691ACB"/>
    <w:rsid w:val="006925D0"/>
    <w:rsid w:val="0069399D"/>
    <w:rsid w:val="0069607F"/>
    <w:rsid w:val="006A0A76"/>
    <w:rsid w:val="006B0182"/>
    <w:rsid w:val="006B61D8"/>
    <w:rsid w:val="006B69C1"/>
    <w:rsid w:val="006D029B"/>
    <w:rsid w:val="006D05DD"/>
    <w:rsid w:val="006F4AA4"/>
    <w:rsid w:val="0070245C"/>
    <w:rsid w:val="00705FD9"/>
    <w:rsid w:val="007063B7"/>
    <w:rsid w:val="00706826"/>
    <w:rsid w:val="007149D2"/>
    <w:rsid w:val="00714F05"/>
    <w:rsid w:val="00722145"/>
    <w:rsid w:val="0072322F"/>
    <w:rsid w:val="007243AB"/>
    <w:rsid w:val="00727EE4"/>
    <w:rsid w:val="00732E02"/>
    <w:rsid w:val="00734057"/>
    <w:rsid w:val="007343E5"/>
    <w:rsid w:val="00740B71"/>
    <w:rsid w:val="007503F2"/>
    <w:rsid w:val="00750439"/>
    <w:rsid w:val="007517F7"/>
    <w:rsid w:val="007603DE"/>
    <w:rsid w:val="007641D6"/>
    <w:rsid w:val="00775698"/>
    <w:rsid w:val="007911A8"/>
    <w:rsid w:val="0079385B"/>
    <w:rsid w:val="007965FC"/>
    <w:rsid w:val="007B4B87"/>
    <w:rsid w:val="007C15EB"/>
    <w:rsid w:val="007C4910"/>
    <w:rsid w:val="007C5797"/>
    <w:rsid w:val="007D37FF"/>
    <w:rsid w:val="007F48D9"/>
    <w:rsid w:val="007F5ADC"/>
    <w:rsid w:val="007F6460"/>
    <w:rsid w:val="007F725F"/>
    <w:rsid w:val="008122F0"/>
    <w:rsid w:val="00820236"/>
    <w:rsid w:val="00827F4C"/>
    <w:rsid w:val="00831FF7"/>
    <w:rsid w:val="00836EBF"/>
    <w:rsid w:val="008448D6"/>
    <w:rsid w:val="00856B1C"/>
    <w:rsid w:val="008629F0"/>
    <w:rsid w:val="00873A11"/>
    <w:rsid w:val="00887033"/>
    <w:rsid w:val="008966C7"/>
    <w:rsid w:val="008967AB"/>
    <w:rsid w:val="008A473D"/>
    <w:rsid w:val="008A703E"/>
    <w:rsid w:val="008B40DA"/>
    <w:rsid w:val="008C653C"/>
    <w:rsid w:val="008D2E86"/>
    <w:rsid w:val="008E1853"/>
    <w:rsid w:val="008E2EA0"/>
    <w:rsid w:val="008E5D6B"/>
    <w:rsid w:val="008E63B6"/>
    <w:rsid w:val="008F69CA"/>
    <w:rsid w:val="0090570A"/>
    <w:rsid w:val="009064B6"/>
    <w:rsid w:val="00907004"/>
    <w:rsid w:val="009071CA"/>
    <w:rsid w:val="0091663E"/>
    <w:rsid w:val="009220A2"/>
    <w:rsid w:val="009223E8"/>
    <w:rsid w:val="0092266B"/>
    <w:rsid w:val="00942DC0"/>
    <w:rsid w:val="00945733"/>
    <w:rsid w:val="00947E00"/>
    <w:rsid w:val="009505E2"/>
    <w:rsid w:val="00957DDD"/>
    <w:rsid w:val="00963673"/>
    <w:rsid w:val="009647AA"/>
    <w:rsid w:val="00965FBD"/>
    <w:rsid w:val="009736A4"/>
    <w:rsid w:val="00973E34"/>
    <w:rsid w:val="00974E0E"/>
    <w:rsid w:val="0098326D"/>
    <w:rsid w:val="0098469D"/>
    <w:rsid w:val="009A7ADB"/>
    <w:rsid w:val="009B30B6"/>
    <w:rsid w:val="009C30DE"/>
    <w:rsid w:val="009C492D"/>
    <w:rsid w:val="009C4EA5"/>
    <w:rsid w:val="009D1826"/>
    <w:rsid w:val="009D39A2"/>
    <w:rsid w:val="009D3AC5"/>
    <w:rsid w:val="009D48F8"/>
    <w:rsid w:val="009D4CFB"/>
    <w:rsid w:val="009E6EE1"/>
    <w:rsid w:val="009F6727"/>
    <w:rsid w:val="00A14055"/>
    <w:rsid w:val="00A16FD0"/>
    <w:rsid w:val="00A212D3"/>
    <w:rsid w:val="00A22D73"/>
    <w:rsid w:val="00A34920"/>
    <w:rsid w:val="00A35A24"/>
    <w:rsid w:val="00A37BFC"/>
    <w:rsid w:val="00A47372"/>
    <w:rsid w:val="00A5389D"/>
    <w:rsid w:val="00A55FFB"/>
    <w:rsid w:val="00A60FA0"/>
    <w:rsid w:val="00A611F3"/>
    <w:rsid w:val="00A63884"/>
    <w:rsid w:val="00A63F70"/>
    <w:rsid w:val="00A677F6"/>
    <w:rsid w:val="00A817C1"/>
    <w:rsid w:val="00A847A9"/>
    <w:rsid w:val="00A95CE9"/>
    <w:rsid w:val="00AA5320"/>
    <w:rsid w:val="00AA56A7"/>
    <w:rsid w:val="00AB0E45"/>
    <w:rsid w:val="00AB2854"/>
    <w:rsid w:val="00AB4286"/>
    <w:rsid w:val="00AB4F3B"/>
    <w:rsid w:val="00AB5406"/>
    <w:rsid w:val="00AD0419"/>
    <w:rsid w:val="00AD7D41"/>
    <w:rsid w:val="00AF6ADE"/>
    <w:rsid w:val="00B01649"/>
    <w:rsid w:val="00B06E40"/>
    <w:rsid w:val="00B101FA"/>
    <w:rsid w:val="00B57DAF"/>
    <w:rsid w:val="00B60CFC"/>
    <w:rsid w:val="00B636B9"/>
    <w:rsid w:val="00B65F72"/>
    <w:rsid w:val="00B82E40"/>
    <w:rsid w:val="00B8513F"/>
    <w:rsid w:val="00B85330"/>
    <w:rsid w:val="00B943F1"/>
    <w:rsid w:val="00BA5AF1"/>
    <w:rsid w:val="00BB3977"/>
    <w:rsid w:val="00BB7401"/>
    <w:rsid w:val="00BD6841"/>
    <w:rsid w:val="00BF0286"/>
    <w:rsid w:val="00BF1A09"/>
    <w:rsid w:val="00C00B7A"/>
    <w:rsid w:val="00C05938"/>
    <w:rsid w:val="00C11630"/>
    <w:rsid w:val="00C212E6"/>
    <w:rsid w:val="00C371B2"/>
    <w:rsid w:val="00C5358F"/>
    <w:rsid w:val="00C71A94"/>
    <w:rsid w:val="00C71BC5"/>
    <w:rsid w:val="00C83B02"/>
    <w:rsid w:val="00C867C5"/>
    <w:rsid w:val="00C91EA7"/>
    <w:rsid w:val="00CA2A52"/>
    <w:rsid w:val="00CA4430"/>
    <w:rsid w:val="00CB257A"/>
    <w:rsid w:val="00CB4C95"/>
    <w:rsid w:val="00CB7316"/>
    <w:rsid w:val="00CC7D92"/>
    <w:rsid w:val="00CD38E2"/>
    <w:rsid w:val="00CE4AA6"/>
    <w:rsid w:val="00CF163E"/>
    <w:rsid w:val="00D035E1"/>
    <w:rsid w:val="00D036F4"/>
    <w:rsid w:val="00D06E45"/>
    <w:rsid w:val="00D11DE2"/>
    <w:rsid w:val="00D21095"/>
    <w:rsid w:val="00D33C37"/>
    <w:rsid w:val="00D34300"/>
    <w:rsid w:val="00D414EF"/>
    <w:rsid w:val="00D42A30"/>
    <w:rsid w:val="00D51648"/>
    <w:rsid w:val="00D54A41"/>
    <w:rsid w:val="00D60BEA"/>
    <w:rsid w:val="00D64119"/>
    <w:rsid w:val="00D76B62"/>
    <w:rsid w:val="00D91470"/>
    <w:rsid w:val="00DB625A"/>
    <w:rsid w:val="00DC081B"/>
    <w:rsid w:val="00DC3F0B"/>
    <w:rsid w:val="00DC3F81"/>
    <w:rsid w:val="00DD6F94"/>
    <w:rsid w:val="00DE2C8E"/>
    <w:rsid w:val="00DF36A9"/>
    <w:rsid w:val="00DF4835"/>
    <w:rsid w:val="00E0518E"/>
    <w:rsid w:val="00E11071"/>
    <w:rsid w:val="00E11BAF"/>
    <w:rsid w:val="00E12015"/>
    <w:rsid w:val="00E13AC7"/>
    <w:rsid w:val="00E41FD4"/>
    <w:rsid w:val="00E422DC"/>
    <w:rsid w:val="00E43126"/>
    <w:rsid w:val="00E50B8D"/>
    <w:rsid w:val="00E84A6F"/>
    <w:rsid w:val="00E94CF5"/>
    <w:rsid w:val="00EA76AA"/>
    <w:rsid w:val="00EB27C4"/>
    <w:rsid w:val="00EB3405"/>
    <w:rsid w:val="00EB3A53"/>
    <w:rsid w:val="00EC0387"/>
    <w:rsid w:val="00EC05FE"/>
    <w:rsid w:val="00EC0BA2"/>
    <w:rsid w:val="00EC190C"/>
    <w:rsid w:val="00EC235A"/>
    <w:rsid w:val="00EC74CF"/>
    <w:rsid w:val="00F01A3B"/>
    <w:rsid w:val="00F1466E"/>
    <w:rsid w:val="00F147F8"/>
    <w:rsid w:val="00F2017E"/>
    <w:rsid w:val="00F25B97"/>
    <w:rsid w:val="00F349AE"/>
    <w:rsid w:val="00F41D9E"/>
    <w:rsid w:val="00F548C0"/>
    <w:rsid w:val="00F6188C"/>
    <w:rsid w:val="00F627DC"/>
    <w:rsid w:val="00F724EF"/>
    <w:rsid w:val="00F82411"/>
    <w:rsid w:val="00F83BDA"/>
    <w:rsid w:val="00F843B7"/>
    <w:rsid w:val="00F94010"/>
    <w:rsid w:val="00FA1A67"/>
    <w:rsid w:val="00FA4224"/>
    <w:rsid w:val="00FB4F95"/>
    <w:rsid w:val="00FB7390"/>
    <w:rsid w:val="00FB73D3"/>
    <w:rsid w:val="00FD0D7E"/>
    <w:rsid w:val="00FD20B9"/>
    <w:rsid w:val="00FD5B55"/>
    <w:rsid w:val="00FF1FB8"/>
  </w:rsids>
  <m:mathPr>
    <m:mathFont m:val="Cambria Math"/>
    <m:brkBin m:val="before"/>
    <m:brkBinSub m:val="--"/>
    <m:smallFrac m:val="0"/>
    <m:dispDef/>
    <m:lMargin m:val="0"/>
    <m:rMargin m:val="0"/>
    <m:defJc m:val="centerGroup"/>
    <m:wrapIndent m:val="1440"/>
    <m:intLim m:val="subSup"/>
    <m:naryLim m:val="undOvr"/>
  </m:mathPr>
  <w:themeFontLang w:val="cy-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2230134-C603-4259-9D79-A1AA65E9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1B2"/>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rsid w:val="00691940"/>
    <w:pPr>
      <w:ind w:left="720"/>
      <w:contextualSpacing/>
    </w:pPr>
  </w:style>
  <w:style w:type="character" w:styleId="Hyperlink">
    <w:name w:val="Hyperlink"/>
    <w:basedOn w:val="DefaultParagraphFont"/>
    <w:uiPriority w:val="99"/>
    <w:unhideWhenUsed/>
    <w:rsid w:val="004724A0"/>
    <w:rPr>
      <w:color w:val="0000FF"/>
      <w:u w:val="single"/>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Char Char,fn Char, Char Char"/>
    <w:basedOn w:val="DefaultParagraphFont"/>
    <w:link w:val="FootnoteText"/>
    <w:uiPriority w:val="99"/>
    <w:locked/>
    <w:rsid w:val="00D51648"/>
    <w:rPr>
      <w:rFonts w:ascii="Times New Roman" w:eastAsiaTheme="minorHAnsi" w:hAnsi="Times New Roman"/>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Char,fn, Char"/>
    <w:basedOn w:val="Normal"/>
    <w:link w:val="FootnoteTextChar"/>
    <w:uiPriority w:val="99"/>
    <w:unhideWhenUsed/>
    <w:qFormat/>
    <w:rsid w:val="00D51648"/>
    <w:pPr>
      <w:spacing w:after="0"/>
    </w:pPr>
    <w:rPr>
      <w:rFonts w:ascii="Times New Roman" w:eastAsiaTheme="minorHAnsi" w:hAnsi="Times New Roman"/>
      <w:sz w:val="20"/>
      <w:szCs w:val="20"/>
      <w:lang w:eastAsia="en-GB"/>
    </w:rPr>
  </w:style>
  <w:style w:type="character" w:customStyle="1" w:styleId="FootnoteTextChar1">
    <w:name w:val="Footnote Text Char1"/>
    <w:basedOn w:val="DefaultParagraphFont"/>
    <w:uiPriority w:val="99"/>
    <w:semiHidden/>
    <w:rsid w:val="00D51648"/>
    <w:rPr>
      <w:rFonts w:ascii="Arial" w:hAnsi="Arial"/>
      <w:lang w:eastAsia="en-US"/>
    </w:rPr>
  </w:style>
  <w:style w:type="paragraph" w:customStyle="1" w:styleId="Parabeforeanother">
    <w:name w:val="&gt; Para before another"/>
    <w:basedOn w:val="Normal"/>
    <w:qFormat/>
    <w:rsid w:val="00D51648"/>
    <w:pPr>
      <w:spacing w:after="160" w:line="312" w:lineRule="auto"/>
    </w:pPr>
    <w:rPr>
      <w:rFonts w:cs="Arial"/>
      <w:sz w:val="24"/>
      <w:szCs w:val="24"/>
    </w:rPr>
  </w:style>
  <w:style w:type="paragraph" w:customStyle="1" w:styleId="Parabeforenewsubsection">
    <w:name w:val="&gt; Para before new subsection"/>
    <w:basedOn w:val="Normal"/>
    <w:qFormat/>
    <w:rsid w:val="00D51648"/>
    <w:pPr>
      <w:spacing w:after="420" w:line="312" w:lineRule="auto"/>
    </w:pPr>
    <w:rPr>
      <w:rFonts w:cs="Arial"/>
      <w:sz w:val="24"/>
      <w:szCs w:val="24"/>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CharChar"/>
    <w:uiPriority w:val="99"/>
    <w:unhideWhenUsed/>
    <w:qFormat/>
    <w:rsid w:val="00D51648"/>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51648"/>
    <w:pPr>
      <w:spacing w:after="160" w:line="240" w:lineRule="exact"/>
      <w:jc w:val="both"/>
    </w:pPr>
    <w:rPr>
      <w:rFonts w:ascii="Calibri" w:hAnsi="Calibri"/>
      <w:sz w:val="20"/>
      <w:szCs w:val="20"/>
      <w:vertAlign w:val="superscript"/>
      <w:lang w:eastAsia="en-GB"/>
    </w:rPr>
  </w:style>
  <w:style w:type="paragraph" w:customStyle="1" w:styleId="Title-L1">
    <w:name w:val="&gt; Title - L1"/>
    <w:basedOn w:val="Normal"/>
    <w:qFormat/>
    <w:rsid w:val="00D51648"/>
    <w:pPr>
      <w:keepNext/>
      <w:keepLines/>
      <w:spacing w:after="1280" w:line="288" w:lineRule="auto"/>
      <w:outlineLvl w:val="0"/>
    </w:pPr>
    <w:rPr>
      <w:rFonts w:ascii="Georgia" w:eastAsia="Times New Roman" w:hAnsi="Georgia"/>
      <w:bCs/>
      <w:color w:val="FF33CC"/>
      <w:sz w:val="48"/>
      <w:szCs w:val="48"/>
    </w:rPr>
  </w:style>
  <w:style w:type="paragraph" w:customStyle="1" w:styleId="Default">
    <w:name w:val="Default"/>
    <w:rsid w:val="00705FD9"/>
    <w:pPr>
      <w:autoSpaceDE w:val="0"/>
      <w:autoSpaceDN w:val="0"/>
      <w:adjustRightInd w:val="0"/>
    </w:pPr>
    <w:rPr>
      <w:rFonts w:ascii="Times New Roman" w:hAnsi="Times New Roman"/>
      <w:color w:val="000000"/>
      <w:sz w:val="24"/>
      <w:szCs w:val="24"/>
    </w:rPr>
  </w:style>
  <w:style w:type="paragraph" w:customStyle="1" w:styleId="Parabeforenewsection">
    <w:name w:val="&gt; Para before new section"/>
    <w:basedOn w:val="Parabeforeanother"/>
    <w:qFormat/>
    <w:rsid w:val="00AA5320"/>
    <w:pPr>
      <w:spacing w:after="680"/>
    </w:pPr>
    <w:rPr>
      <w:rFonts w:cs="Times New Roman"/>
    </w:rPr>
  </w:style>
  <w:style w:type="paragraph" w:customStyle="1" w:styleId="type">
    <w:name w:val="type"/>
    <w:basedOn w:val="Normal"/>
    <w:rsid w:val="00C71A94"/>
    <w:pPr>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C867C5"/>
    <w:rPr>
      <w:b/>
      <w:bCs/>
      <w:i w:val="0"/>
      <w:iCs w:val="0"/>
    </w:rPr>
  </w:style>
  <w:style w:type="character" w:customStyle="1" w:styleId="st1">
    <w:name w:val="st1"/>
    <w:basedOn w:val="DefaultParagraphFont"/>
    <w:rsid w:val="00C867C5"/>
  </w:style>
  <w:style w:type="paragraph" w:customStyle="1" w:styleId="Paraflow">
    <w:name w:val="&gt; Para flow"/>
    <w:basedOn w:val="Normal"/>
    <w:qFormat/>
    <w:rsid w:val="005612B7"/>
    <w:pPr>
      <w:spacing w:after="120" w:line="312" w:lineRule="auto"/>
    </w:pPr>
    <w:rPr>
      <w:rFonts w:cs="Arial"/>
      <w:sz w:val="24"/>
      <w:szCs w:val="24"/>
    </w:rPr>
  </w:style>
  <w:style w:type="character" w:styleId="CommentReference">
    <w:name w:val="annotation reference"/>
    <w:basedOn w:val="DefaultParagraphFont"/>
    <w:uiPriority w:val="99"/>
    <w:semiHidden/>
    <w:unhideWhenUsed/>
    <w:rsid w:val="00494BED"/>
    <w:rPr>
      <w:sz w:val="16"/>
      <w:szCs w:val="16"/>
    </w:rPr>
  </w:style>
  <w:style w:type="paragraph" w:styleId="CommentText">
    <w:name w:val="annotation text"/>
    <w:basedOn w:val="Normal"/>
    <w:link w:val="CommentTextChar"/>
    <w:uiPriority w:val="99"/>
    <w:unhideWhenUsed/>
    <w:rsid w:val="00494BED"/>
    <w:rPr>
      <w:sz w:val="20"/>
      <w:szCs w:val="20"/>
    </w:rPr>
  </w:style>
  <w:style w:type="character" w:customStyle="1" w:styleId="CommentTextChar">
    <w:name w:val="Comment Text Char"/>
    <w:basedOn w:val="DefaultParagraphFont"/>
    <w:link w:val="CommentText"/>
    <w:uiPriority w:val="99"/>
    <w:rsid w:val="00494BE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94BED"/>
    <w:rPr>
      <w:b/>
      <w:bCs/>
    </w:rPr>
  </w:style>
  <w:style w:type="character" w:customStyle="1" w:styleId="CommentSubjectChar">
    <w:name w:val="Comment Subject Char"/>
    <w:basedOn w:val="CommentTextChar"/>
    <w:link w:val="CommentSubject"/>
    <w:uiPriority w:val="99"/>
    <w:semiHidden/>
    <w:rsid w:val="00494BED"/>
    <w:rPr>
      <w:rFonts w:ascii="Arial" w:hAnsi="Arial"/>
      <w:b/>
      <w:bCs/>
      <w:lang w:eastAsia="en-US"/>
    </w:rPr>
  </w:style>
  <w:style w:type="paragraph" w:styleId="BalloonText">
    <w:name w:val="Balloon Text"/>
    <w:basedOn w:val="Normal"/>
    <w:link w:val="BalloonTextChar"/>
    <w:uiPriority w:val="99"/>
    <w:semiHidden/>
    <w:unhideWhenUsed/>
    <w:rsid w:val="00494B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BED"/>
    <w:rPr>
      <w:rFonts w:ascii="Tahoma" w:hAnsi="Tahoma" w:cs="Tahoma"/>
      <w:sz w:val="16"/>
      <w:szCs w:val="16"/>
      <w:lang w:eastAsia="en-US"/>
    </w:rPr>
  </w:style>
  <w:style w:type="character" w:styleId="FollowedHyperlink">
    <w:name w:val="FollowedHyperlink"/>
    <w:basedOn w:val="DefaultParagraphFont"/>
    <w:uiPriority w:val="99"/>
    <w:semiHidden/>
    <w:unhideWhenUsed/>
    <w:rsid w:val="00DB625A"/>
    <w:rPr>
      <w:color w:val="800080" w:themeColor="followedHyperlink"/>
      <w:u w:val="single"/>
    </w:rPr>
  </w:style>
  <w:style w:type="paragraph" w:styleId="Revision">
    <w:name w:val="Revision"/>
    <w:hidden/>
    <w:uiPriority w:val="99"/>
    <w:semiHidden/>
    <w:rsid w:val="00B01649"/>
    <w:rPr>
      <w:rFonts w:ascii="Arial" w:hAnsi="Arial"/>
      <w:sz w:val="28"/>
      <w:szCs w:val="22"/>
      <w:lang w:eastAsia="en-US"/>
    </w:rPr>
  </w:style>
  <w:style w:type="paragraph" w:styleId="NormalWeb">
    <w:name w:val="Normal (Web)"/>
    <w:basedOn w:val="Normal"/>
    <w:uiPriority w:val="99"/>
    <w:semiHidden/>
    <w:unhideWhenUsed/>
    <w:rsid w:val="008E2EA0"/>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FB7390"/>
    <w:pPr>
      <w:tabs>
        <w:tab w:val="center" w:pos="4513"/>
        <w:tab w:val="right" w:pos="9026"/>
      </w:tabs>
      <w:spacing w:after="0"/>
    </w:pPr>
  </w:style>
  <w:style w:type="character" w:customStyle="1" w:styleId="HeaderChar">
    <w:name w:val="Header Char"/>
    <w:basedOn w:val="DefaultParagraphFont"/>
    <w:link w:val="Header"/>
    <w:uiPriority w:val="99"/>
    <w:rsid w:val="00FB7390"/>
    <w:rPr>
      <w:rFonts w:ascii="Arial" w:hAnsi="Arial"/>
      <w:sz w:val="28"/>
      <w:szCs w:val="22"/>
      <w:lang w:eastAsia="en-US"/>
    </w:rPr>
  </w:style>
  <w:style w:type="paragraph" w:styleId="Footer">
    <w:name w:val="footer"/>
    <w:basedOn w:val="Normal"/>
    <w:link w:val="FooterChar"/>
    <w:uiPriority w:val="99"/>
    <w:unhideWhenUsed/>
    <w:rsid w:val="00FB7390"/>
    <w:pPr>
      <w:tabs>
        <w:tab w:val="center" w:pos="4513"/>
        <w:tab w:val="right" w:pos="9026"/>
      </w:tabs>
      <w:spacing w:after="0"/>
    </w:pPr>
  </w:style>
  <w:style w:type="character" w:customStyle="1" w:styleId="FooterChar">
    <w:name w:val="Footer Char"/>
    <w:basedOn w:val="DefaultParagraphFont"/>
    <w:link w:val="Footer"/>
    <w:uiPriority w:val="99"/>
    <w:rsid w:val="00FB7390"/>
    <w:rPr>
      <w:rFonts w:ascii="Arial" w:hAnsi="Arial"/>
      <w:sz w:val="28"/>
      <w:szCs w:val="22"/>
      <w:lang w:eastAsia="en-US"/>
    </w:rPr>
  </w:style>
  <w:style w:type="paragraph" w:customStyle="1" w:styleId="Title-chapterorange">
    <w:name w:val="&gt; Title - chapter orange"/>
    <w:basedOn w:val="Heading1"/>
    <w:qFormat/>
    <w:rsid w:val="00EC74CF"/>
    <w:pPr>
      <w:spacing w:before="0" w:after="1920" w:line="288" w:lineRule="auto"/>
    </w:pPr>
    <w:rPr>
      <w:rFonts w:ascii="Georgia" w:hAnsi="Georgia"/>
      <w:b w:val="0"/>
      <w:color w:val="F15183"/>
      <w:sz w:val="48"/>
      <w:szCs w:val="48"/>
    </w:rPr>
  </w:style>
  <w:style w:type="paragraph" w:customStyle="1" w:styleId="Parabase">
    <w:name w:val="&gt; Para (base)"/>
    <w:basedOn w:val="Normal"/>
    <w:qFormat/>
    <w:rsid w:val="00B101FA"/>
    <w:pPr>
      <w:spacing w:after="120" w:line="312" w:lineRule="auto"/>
    </w:pPr>
    <w:rPr>
      <w:rFonts w:asciiTheme="minorHAnsi" w:hAnsiTheme="minorHAnsi" w:cs="Arial"/>
      <w:sz w:val="22"/>
      <w:szCs w:val="24"/>
    </w:rPr>
  </w:style>
  <w:style w:type="paragraph" w:customStyle="1" w:styleId="Numberedlistlastingroup">
    <w:name w:val="&gt; Numbered list (last in group)"/>
    <w:basedOn w:val="Normal"/>
    <w:qFormat/>
    <w:rsid w:val="00B101FA"/>
    <w:pPr>
      <w:numPr>
        <w:numId w:val="13"/>
      </w:numPr>
      <w:spacing w:after="160" w:line="312" w:lineRule="auto"/>
      <w:ind w:left="425" w:hanging="425"/>
    </w:pPr>
    <w:rPr>
      <w:sz w:val="24"/>
      <w:szCs w:val="24"/>
    </w:rPr>
  </w:style>
  <w:style w:type="paragraph" w:customStyle="1" w:styleId="Parasection">
    <w:name w:val="&gt; Para (section)"/>
    <w:basedOn w:val="Normal"/>
    <w:qFormat/>
    <w:rsid w:val="00B101FA"/>
    <w:pPr>
      <w:spacing w:after="640" w:line="312" w:lineRule="auto"/>
    </w:pPr>
    <w:rPr>
      <w:sz w:val="24"/>
      <w:szCs w:val="24"/>
    </w:rPr>
  </w:style>
  <w:style w:type="paragraph" w:customStyle="1" w:styleId="L4Headers">
    <w:name w:val="&gt; L4 Headers"/>
    <w:basedOn w:val="Parabase"/>
    <w:qFormat/>
    <w:rsid w:val="00B101FA"/>
    <w:pPr>
      <w:spacing w:after="100"/>
    </w:pPr>
    <w:rPr>
      <w:rFonts w:ascii="Arial" w:hAnsi="Arial"/>
      <w:b/>
      <w:sz w:val="24"/>
    </w:rPr>
  </w:style>
  <w:style w:type="paragraph" w:customStyle="1" w:styleId="Parass">
    <w:name w:val="&gt; Para (ss)"/>
    <w:basedOn w:val="Parasection"/>
    <w:qFormat/>
    <w:rsid w:val="00B101FA"/>
    <w:pPr>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6884">
      <w:bodyDiv w:val="1"/>
      <w:marLeft w:val="0"/>
      <w:marRight w:val="0"/>
      <w:marTop w:val="0"/>
      <w:marBottom w:val="0"/>
      <w:divBdr>
        <w:top w:val="none" w:sz="0" w:space="0" w:color="auto"/>
        <w:left w:val="none" w:sz="0" w:space="0" w:color="auto"/>
        <w:bottom w:val="none" w:sz="0" w:space="0" w:color="auto"/>
        <w:right w:val="none" w:sz="0" w:space="0" w:color="auto"/>
      </w:divBdr>
      <w:divsChild>
        <w:div w:id="1463234353">
          <w:marLeft w:val="0"/>
          <w:marRight w:val="0"/>
          <w:marTop w:val="0"/>
          <w:marBottom w:val="0"/>
          <w:divBdr>
            <w:top w:val="none" w:sz="0" w:space="0" w:color="auto"/>
            <w:left w:val="none" w:sz="0" w:space="0" w:color="auto"/>
            <w:bottom w:val="none" w:sz="0" w:space="0" w:color="auto"/>
            <w:right w:val="none" w:sz="0" w:space="0" w:color="auto"/>
          </w:divBdr>
          <w:divsChild>
            <w:div w:id="317811982">
              <w:marLeft w:val="0"/>
              <w:marRight w:val="0"/>
              <w:marTop w:val="0"/>
              <w:marBottom w:val="0"/>
              <w:divBdr>
                <w:top w:val="none" w:sz="0" w:space="0" w:color="auto"/>
                <w:left w:val="none" w:sz="0" w:space="0" w:color="auto"/>
                <w:bottom w:val="none" w:sz="0" w:space="0" w:color="auto"/>
                <w:right w:val="none" w:sz="0" w:space="0" w:color="auto"/>
              </w:divBdr>
              <w:divsChild>
                <w:div w:id="237642631">
                  <w:marLeft w:val="0"/>
                  <w:marRight w:val="0"/>
                  <w:marTop w:val="0"/>
                  <w:marBottom w:val="0"/>
                  <w:divBdr>
                    <w:top w:val="none" w:sz="0" w:space="0" w:color="auto"/>
                    <w:left w:val="none" w:sz="0" w:space="0" w:color="auto"/>
                    <w:bottom w:val="none" w:sz="0" w:space="0" w:color="auto"/>
                    <w:right w:val="none" w:sz="0" w:space="0" w:color="auto"/>
                  </w:divBdr>
                  <w:divsChild>
                    <w:div w:id="84621540">
                      <w:marLeft w:val="0"/>
                      <w:marRight w:val="0"/>
                      <w:marTop w:val="0"/>
                      <w:marBottom w:val="0"/>
                      <w:divBdr>
                        <w:top w:val="none" w:sz="0" w:space="0" w:color="auto"/>
                        <w:left w:val="none" w:sz="0" w:space="0" w:color="auto"/>
                        <w:bottom w:val="none" w:sz="0" w:space="0" w:color="auto"/>
                        <w:right w:val="none" w:sz="0" w:space="0" w:color="auto"/>
                      </w:divBdr>
                      <w:divsChild>
                        <w:div w:id="1565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284647">
      <w:bodyDiv w:val="1"/>
      <w:marLeft w:val="0"/>
      <w:marRight w:val="0"/>
      <w:marTop w:val="0"/>
      <w:marBottom w:val="0"/>
      <w:divBdr>
        <w:top w:val="none" w:sz="0" w:space="0" w:color="auto"/>
        <w:left w:val="none" w:sz="0" w:space="0" w:color="auto"/>
        <w:bottom w:val="none" w:sz="0" w:space="0" w:color="auto"/>
        <w:right w:val="none" w:sz="0" w:space="0" w:color="auto"/>
      </w:divBdr>
      <w:divsChild>
        <w:div w:id="900405921">
          <w:marLeft w:val="0"/>
          <w:marRight w:val="0"/>
          <w:marTop w:val="0"/>
          <w:marBottom w:val="0"/>
          <w:divBdr>
            <w:top w:val="none" w:sz="0" w:space="0" w:color="auto"/>
            <w:left w:val="none" w:sz="0" w:space="0" w:color="auto"/>
            <w:bottom w:val="none" w:sz="0" w:space="0" w:color="auto"/>
            <w:right w:val="none" w:sz="0" w:space="0" w:color="auto"/>
          </w:divBdr>
          <w:divsChild>
            <w:div w:id="659236498">
              <w:marLeft w:val="0"/>
              <w:marRight w:val="0"/>
              <w:marTop w:val="0"/>
              <w:marBottom w:val="0"/>
              <w:divBdr>
                <w:top w:val="none" w:sz="0" w:space="0" w:color="auto"/>
                <w:left w:val="none" w:sz="0" w:space="0" w:color="auto"/>
                <w:bottom w:val="none" w:sz="0" w:space="0" w:color="auto"/>
                <w:right w:val="none" w:sz="0" w:space="0" w:color="auto"/>
              </w:divBdr>
              <w:divsChild>
                <w:div w:id="7910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47801">
      <w:bodyDiv w:val="1"/>
      <w:marLeft w:val="0"/>
      <w:marRight w:val="0"/>
      <w:marTop w:val="0"/>
      <w:marBottom w:val="0"/>
      <w:divBdr>
        <w:top w:val="none" w:sz="0" w:space="0" w:color="auto"/>
        <w:left w:val="none" w:sz="0" w:space="0" w:color="auto"/>
        <w:bottom w:val="none" w:sz="0" w:space="0" w:color="auto"/>
        <w:right w:val="none" w:sz="0" w:space="0" w:color="auto"/>
      </w:divBdr>
      <w:divsChild>
        <w:div w:id="1163668297">
          <w:marLeft w:val="0"/>
          <w:marRight w:val="0"/>
          <w:marTop w:val="0"/>
          <w:marBottom w:val="0"/>
          <w:divBdr>
            <w:top w:val="none" w:sz="0" w:space="0" w:color="auto"/>
            <w:left w:val="none" w:sz="0" w:space="0" w:color="auto"/>
            <w:bottom w:val="none" w:sz="0" w:space="0" w:color="auto"/>
            <w:right w:val="none" w:sz="0" w:space="0" w:color="auto"/>
          </w:divBdr>
          <w:divsChild>
            <w:div w:id="993218858">
              <w:marLeft w:val="0"/>
              <w:marRight w:val="0"/>
              <w:marTop w:val="0"/>
              <w:marBottom w:val="0"/>
              <w:divBdr>
                <w:top w:val="none" w:sz="0" w:space="0" w:color="auto"/>
                <w:left w:val="none" w:sz="0" w:space="0" w:color="auto"/>
                <w:bottom w:val="none" w:sz="0" w:space="0" w:color="auto"/>
                <w:right w:val="none" w:sz="0" w:space="0" w:color="auto"/>
              </w:divBdr>
              <w:divsChild>
                <w:div w:id="2638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71812">
      <w:bodyDiv w:val="1"/>
      <w:marLeft w:val="0"/>
      <w:marRight w:val="0"/>
      <w:marTop w:val="0"/>
      <w:marBottom w:val="0"/>
      <w:divBdr>
        <w:top w:val="none" w:sz="0" w:space="0" w:color="auto"/>
        <w:left w:val="none" w:sz="0" w:space="0" w:color="auto"/>
        <w:bottom w:val="none" w:sz="0" w:space="0" w:color="auto"/>
        <w:right w:val="none" w:sz="0" w:space="0" w:color="auto"/>
      </w:divBdr>
    </w:div>
    <w:div w:id="753665502">
      <w:bodyDiv w:val="1"/>
      <w:marLeft w:val="0"/>
      <w:marRight w:val="0"/>
      <w:marTop w:val="0"/>
      <w:marBottom w:val="0"/>
      <w:divBdr>
        <w:top w:val="none" w:sz="0" w:space="0" w:color="auto"/>
        <w:left w:val="none" w:sz="0" w:space="0" w:color="auto"/>
        <w:bottom w:val="none" w:sz="0" w:space="0" w:color="auto"/>
        <w:right w:val="none" w:sz="0" w:space="0" w:color="auto"/>
      </w:divBdr>
    </w:div>
    <w:div w:id="1001397552">
      <w:bodyDiv w:val="1"/>
      <w:marLeft w:val="0"/>
      <w:marRight w:val="0"/>
      <w:marTop w:val="0"/>
      <w:marBottom w:val="0"/>
      <w:divBdr>
        <w:top w:val="none" w:sz="0" w:space="0" w:color="auto"/>
        <w:left w:val="none" w:sz="0" w:space="0" w:color="auto"/>
        <w:bottom w:val="none" w:sz="0" w:space="0" w:color="auto"/>
        <w:right w:val="none" w:sz="0" w:space="0" w:color="auto"/>
      </w:divBdr>
    </w:div>
    <w:div w:id="1055588777">
      <w:bodyDiv w:val="1"/>
      <w:marLeft w:val="0"/>
      <w:marRight w:val="0"/>
      <w:marTop w:val="0"/>
      <w:marBottom w:val="0"/>
      <w:divBdr>
        <w:top w:val="none" w:sz="0" w:space="0" w:color="auto"/>
        <w:left w:val="none" w:sz="0" w:space="0" w:color="auto"/>
        <w:bottom w:val="none" w:sz="0" w:space="0" w:color="auto"/>
        <w:right w:val="none" w:sz="0" w:space="0" w:color="auto"/>
      </w:divBdr>
      <w:divsChild>
        <w:div w:id="546649820">
          <w:marLeft w:val="0"/>
          <w:marRight w:val="0"/>
          <w:marTop w:val="0"/>
          <w:marBottom w:val="0"/>
          <w:divBdr>
            <w:top w:val="none" w:sz="0" w:space="0" w:color="auto"/>
            <w:left w:val="none" w:sz="0" w:space="0" w:color="auto"/>
            <w:bottom w:val="none" w:sz="0" w:space="0" w:color="auto"/>
            <w:right w:val="none" w:sz="0" w:space="0" w:color="auto"/>
          </w:divBdr>
          <w:divsChild>
            <w:div w:id="559950081">
              <w:marLeft w:val="0"/>
              <w:marRight w:val="0"/>
              <w:marTop w:val="0"/>
              <w:marBottom w:val="0"/>
              <w:divBdr>
                <w:top w:val="none" w:sz="0" w:space="0" w:color="auto"/>
                <w:left w:val="none" w:sz="0" w:space="0" w:color="auto"/>
                <w:bottom w:val="none" w:sz="0" w:space="0" w:color="auto"/>
                <w:right w:val="none" w:sz="0" w:space="0" w:color="auto"/>
              </w:divBdr>
              <w:divsChild>
                <w:div w:id="1037853460">
                  <w:marLeft w:val="0"/>
                  <w:marRight w:val="0"/>
                  <w:marTop w:val="0"/>
                  <w:marBottom w:val="0"/>
                  <w:divBdr>
                    <w:top w:val="none" w:sz="0" w:space="0" w:color="auto"/>
                    <w:left w:val="none" w:sz="0" w:space="0" w:color="auto"/>
                    <w:bottom w:val="none" w:sz="0" w:space="0" w:color="auto"/>
                    <w:right w:val="none" w:sz="0" w:space="0" w:color="auto"/>
                  </w:divBdr>
                  <w:divsChild>
                    <w:div w:id="1733312631">
                      <w:marLeft w:val="0"/>
                      <w:marRight w:val="0"/>
                      <w:marTop w:val="0"/>
                      <w:marBottom w:val="0"/>
                      <w:divBdr>
                        <w:top w:val="none" w:sz="0" w:space="0" w:color="auto"/>
                        <w:left w:val="none" w:sz="0" w:space="0" w:color="auto"/>
                        <w:bottom w:val="none" w:sz="0" w:space="0" w:color="auto"/>
                        <w:right w:val="none" w:sz="0" w:space="0" w:color="auto"/>
                      </w:divBdr>
                      <w:divsChild>
                        <w:div w:id="741106060">
                          <w:marLeft w:val="0"/>
                          <w:marRight w:val="0"/>
                          <w:marTop w:val="0"/>
                          <w:marBottom w:val="0"/>
                          <w:divBdr>
                            <w:top w:val="none" w:sz="0" w:space="0" w:color="auto"/>
                            <w:left w:val="none" w:sz="0" w:space="0" w:color="auto"/>
                            <w:bottom w:val="none" w:sz="0" w:space="0" w:color="auto"/>
                            <w:right w:val="none" w:sz="0" w:space="0" w:color="auto"/>
                          </w:divBdr>
                          <w:divsChild>
                            <w:div w:id="1231035899">
                              <w:marLeft w:val="0"/>
                              <w:marRight w:val="0"/>
                              <w:marTop w:val="0"/>
                              <w:marBottom w:val="0"/>
                              <w:divBdr>
                                <w:top w:val="none" w:sz="0" w:space="0" w:color="auto"/>
                                <w:left w:val="none" w:sz="0" w:space="0" w:color="auto"/>
                                <w:bottom w:val="none" w:sz="0" w:space="0" w:color="auto"/>
                                <w:right w:val="none" w:sz="0" w:space="0" w:color="auto"/>
                              </w:divBdr>
                              <w:divsChild>
                                <w:div w:id="302584778">
                                  <w:marLeft w:val="0"/>
                                  <w:marRight w:val="0"/>
                                  <w:marTop w:val="0"/>
                                  <w:marBottom w:val="0"/>
                                  <w:divBdr>
                                    <w:top w:val="none" w:sz="0" w:space="0" w:color="auto"/>
                                    <w:left w:val="none" w:sz="0" w:space="0" w:color="auto"/>
                                    <w:bottom w:val="none" w:sz="0" w:space="0" w:color="auto"/>
                                    <w:right w:val="none" w:sz="0" w:space="0" w:color="auto"/>
                                  </w:divBdr>
                                  <w:divsChild>
                                    <w:div w:id="1983804855">
                                      <w:marLeft w:val="0"/>
                                      <w:marRight w:val="0"/>
                                      <w:marTop w:val="0"/>
                                      <w:marBottom w:val="0"/>
                                      <w:divBdr>
                                        <w:top w:val="none" w:sz="0" w:space="0" w:color="auto"/>
                                        <w:left w:val="none" w:sz="0" w:space="0" w:color="auto"/>
                                        <w:bottom w:val="none" w:sz="0" w:space="0" w:color="auto"/>
                                        <w:right w:val="none" w:sz="0" w:space="0" w:color="auto"/>
                                      </w:divBdr>
                                      <w:divsChild>
                                        <w:div w:id="1034498004">
                                          <w:marLeft w:val="0"/>
                                          <w:marRight w:val="0"/>
                                          <w:marTop w:val="0"/>
                                          <w:marBottom w:val="0"/>
                                          <w:divBdr>
                                            <w:top w:val="none" w:sz="0" w:space="0" w:color="auto"/>
                                            <w:left w:val="none" w:sz="0" w:space="0" w:color="auto"/>
                                            <w:bottom w:val="none" w:sz="0" w:space="0" w:color="auto"/>
                                            <w:right w:val="none" w:sz="0" w:space="0" w:color="auto"/>
                                          </w:divBdr>
                                          <w:divsChild>
                                            <w:div w:id="1242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182629">
      <w:bodyDiv w:val="1"/>
      <w:marLeft w:val="0"/>
      <w:marRight w:val="0"/>
      <w:marTop w:val="0"/>
      <w:marBottom w:val="0"/>
      <w:divBdr>
        <w:top w:val="none" w:sz="0" w:space="0" w:color="auto"/>
        <w:left w:val="none" w:sz="0" w:space="0" w:color="auto"/>
        <w:bottom w:val="none" w:sz="0" w:space="0" w:color="auto"/>
        <w:right w:val="none" w:sz="0" w:space="0" w:color="auto"/>
      </w:divBdr>
    </w:div>
    <w:div w:id="1168446149">
      <w:bodyDiv w:val="1"/>
      <w:marLeft w:val="0"/>
      <w:marRight w:val="0"/>
      <w:marTop w:val="0"/>
      <w:marBottom w:val="0"/>
      <w:divBdr>
        <w:top w:val="none" w:sz="0" w:space="0" w:color="auto"/>
        <w:left w:val="none" w:sz="0" w:space="0" w:color="auto"/>
        <w:bottom w:val="none" w:sz="0" w:space="0" w:color="auto"/>
        <w:right w:val="none" w:sz="0" w:space="0" w:color="auto"/>
      </w:divBdr>
      <w:divsChild>
        <w:div w:id="831722279">
          <w:marLeft w:val="0"/>
          <w:marRight w:val="0"/>
          <w:marTop w:val="0"/>
          <w:marBottom w:val="0"/>
          <w:divBdr>
            <w:top w:val="none" w:sz="0" w:space="0" w:color="auto"/>
            <w:left w:val="none" w:sz="0" w:space="0" w:color="auto"/>
            <w:bottom w:val="none" w:sz="0" w:space="0" w:color="auto"/>
            <w:right w:val="none" w:sz="0" w:space="0" w:color="auto"/>
          </w:divBdr>
          <w:divsChild>
            <w:div w:id="998727331">
              <w:marLeft w:val="0"/>
              <w:marRight w:val="0"/>
              <w:marTop w:val="0"/>
              <w:marBottom w:val="0"/>
              <w:divBdr>
                <w:top w:val="none" w:sz="0" w:space="0" w:color="auto"/>
                <w:left w:val="none" w:sz="0" w:space="0" w:color="auto"/>
                <w:bottom w:val="none" w:sz="0" w:space="0" w:color="auto"/>
                <w:right w:val="none" w:sz="0" w:space="0" w:color="auto"/>
              </w:divBdr>
              <w:divsChild>
                <w:div w:id="7960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62515">
      <w:bodyDiv w:val="1"/>
      <w:marLeft w:val="0"/>
      <w:marRight w:val="0"/>
      <w:marTop w:val="0"/>
      <w:marBottom w:val="0"/>
      <w:divBdr>
        <w:top w:val="none" w:sz="0" w:space="0" w:color="auto"/>
        <w:left w:val="none" w:sz="0" w:space="0" w:color="auto"/>
        <w:bottom w:val="none" w:sz="0" w:space="0" w:color="auto"/>
        <w:right w:val="none" w:sz="0" w:space="0" w:color="auto"/>
      </w:divBdr>
    </w:div>
    <w:div w:id="1800031158">
      <w:bodyDiv w:val="1"/>
      <w:marLeft w:val="0"/>
      <w:marRight w:val="0"/>
      <w:marTop w:val="0"/>
      <w:marBottom w:val="0"/>
      <w:divBdr>
        <w:top w:val="none" w:sz="0" w:space="0" w:color="auto"/>
        <w:left w:val="none" w:sz="0" w:space="0" w:color="auto"/>
        <w:bottom w:val="none" w:sz="0" w:space="0" w:color="auto"/>
        <w:right w:val="none" w:sz="0" w:space="0" w:color="auto"/>
      </w:divBdr>
      <w:divsChild>
        <w:div w:id="1162429531">
          <w:marLeft w:val="0"/>
          <w:marRight w:val="0"/>
          <w:marTop w:val="0"/>
          <w:marBottom w:val="0"/>
          <w:divBdr>
            <w:top w:val="none" w:sz="0" w:space="0" w:color="auto"/>
            <w:left w:val="none" w:sz="0" w:space="0" w:color="auto"/>
            <w:bottom w:val="none" w:sz="0" w:space="0" w:color="auto"/>
            <w:right w:val="none" w:sz="0" w:space="0" w:color="auto"/>
          </w:divBdr>
          <w:divsChild>
            <w:div w:id="613631123">
              <w:marLeft w:val="0"/>
              <w:marRight w:val="0"/>
              <w:marTop w:val="0"/>
              <w:marBottom w:val="0"/>
              <w:divBdr>
                <w:top w:val="none" w:sz="0" w:space="0" w:color="auto"/>
                <w:left w:val="none" w:sz="0" w:space="0" w:color="auto"/>
                <w:bottom w:val="none" w:sz="0" w:space="0" w:color="auto"/>
                <w:right w:val="none" w:sz="0" w:space="0" w:color="auto"/>
              </w:divBdr>
              <w:divsChild>
                <w:div w:id="246035047">
                  <w:marLeft w:val="0"/>
                  <w:marRight w:val="0"/>
                  <w:marTop w:val="0"/>
                  <w:marBottom w:val="0"/>
                  <w:divBdr>
                    <w:top w:val="none" w:sz="0" w:space="0" w:color="auto"/>
                    <w:left w:val="none" w:sz="0" w:space="0" w:color="auto"/>
                    <w:bottom w:val="none" w:sz="0" w:space="0" w:color="auto"/>
                    <w:right w:val="none" w:sz="0" w:space="0" w:color="auto"/>
                  </w:divBdr>
                  <w:divsChild>
                    <w:div w:id="1761481426">
                      <w:marLeft w:val="0"/>
                      <w:marRight w:val="0"/>
                      <w:marTop w:val="0"/>
                      <w:marBottom w:val="0"/>
                      <w:divBdr>
                        <w:top w:val="none" w:sz="0" w:space="0" w:color="auto"/>
                        <w:left w:val="none" w:sz="0" w:space="0" w:color="auto"/>
                        <w:bottom w:val="none" w:sz="0" w:space="0" w:color="auto"/>
                        <w:right w:val="none" w:sz="0" w:space="0" w:color="auto"/>
                      </w:divBdr>
                      <w:divsChild>
                        <w:div w:id="19345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6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ymraeg.gov.wales/btc/termdetails?lang=en&amp;id=1242506&amp;back=%2Fbtc%2Fsearchresult%3Flang%3Den%26term%3DEuropean%2BCourt%2Bof%2BHuman%2BRights%2B%26dir%3De2c%26subj%3Dall%26rpp%3D10%26page%3D1" TargetMode="External"/><Relationship Id="rId13" Type="http://schemas.openxmlformats.org/officeDocument/2006/relationships/hyperlink" Target="mailto:correspondence@equalityhumanright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qualityhumanright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spondence@equalityhumanright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qualityadvisoryservice.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qualityhumanrights.com"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policyexchange.org.uk/publications/category/item/the-fog-of-law-an-introduction-to-the-legal-erosion-of-british-fighting-power" TargetMode="External"/><Relationship Id="rId13" Type="http://schemas.openxmlformats.org/officeDocument/2006/relationships/hyperlink" Target="http://www.publications.parliament.uk/pa/cm201314/cmhansrd/cm131219/debtext/131219-0002.htm" TargetMode="External"/><Relationship Id="rId18" Type="http://schemas.openxmlformats.org/officeDocument/2006/relationships/hyperlink" Target="http://www.cydraddoldebhumanrights.com/about-us/our-work/human-rights/international-framework/international-covenant%20-civil-and-political-rights" TargetMode="External"/><Relationship Id="rId3" Type="http://schemas.openxmlformats.org/officeDocument/2006/relationships/hyperlink" Target="http://www.publications.parliament.uk/pa/cm201516/cmhansrd/cm160203/debtext/160203-0002.htm" TargetMode="External"/><Relationship Id="rId21" Type="http://schemas.openxmlformats.org/officeDocument/2006/relationships/hyperlink" Target="https://www.gov.uk/government/publications/ihat-work-completed" TargetMode="External"/><Relationship Id="rId7" Type="http://schemas.openxmlformats.org/officeDocument/2006/relationships/hyperlink" Target="http://www.equalityhumanrights.com/sites/default/files/uploads/documents/humanrights/UN/CCPRC%20GB%20concluding%20observations%20(1).pdf" TargetMode="External"/><Relationship Id="rId12" Type="http://schemas.openxmlformats.org/officeDocument/2006/relationships/hyperlink" Target="http://www.detaineeinquiry.org.uk/about/index.html" TargetMode="External"/><Relationship Id="rId17" Type="http://schemas.openxmlformats.org/officeDocument/2006/relationships/hyperlink" Target="https://www.gov.uk/government/news/iraq-historic-allegations-team-starts-work" TargetMode="External"/><Relationship Id="rId2" Type="http://schemas.openxmlformats.org/officeDocument/2006/relationships/hyperlink" Target="http://www.parliament.uk/business/committee/%20committees-a-z/lords-select/constitution-committee/" TargetMode="External"/><Relationship Id="rId16" Type="http://schemas.openxmlformats.org/officeDocument/2006/relationships/hyperlink" Target="http://www.cps.gov.uk/news/latest_news/crown_prosecution_service_statement_operation_lydd/" TargetMode="External"/><Relationship Id="rId20" Type="http://schemas.openxmlformats.org/officeDocument/2006/relationships/hyperlink" Target="http://www.cydraddoldebhumanrights.com/about-us/our-work/human-rights/international-framework/international-covenant%20-civil-and-political-rights" TargetMode="External"/><Relationship Id="rId1" Type="http://schemas.openxmlformats.org/officeDocument/2006/relationships/hyperlink" Target="http://tbinternet.ohchr.org/_layouts/treatybodyexternal/Download.aspx?symbolno=CCPR/C/GBR/CO/7&amp;Lang=En" TargetMode="External"/><Relationship Id="rId6" Type="http://schemas.openxmlformats.org/officeDocument/2006/relationships/hyperlink" Target="http://www.equalityhumanrights.com/your-rights/human-rights/changes-human-rights-framework" TargetMode="External"/><Relationship Id="rId11" Type="http://schemas.openxmlformats.org/officeDocument/2006/relationships/hyperlink" Target="http://tbinternet.ohchr.org/_layouts/treatybodyexternal/Download.aspx?symbolno=CCPR%2fC%2f21%2fRev.1%2fAdd.13&amp;Lang=en" TargetMode="External"/><Relationship Id="rId5" Type="http://schemas.openxmlformats.org/officeDocument/2006/relationships/hyperlink" Target="http://www.cydraddoldebhumanrights.com/about-us/our-work/human-rights/international-framework/international-covenant%20-civil-and-political-rights" TargetMode="External"/><Relationship Id="rId15" Type="http://schemas.openxmlformats.org/officeDocument/2006/relationships/hyperlink" Target="http://isc.independent.gov.uk/news-archive/29october2015" TargetMode="External"/><Relationship Id="rId10" Type="http://schemas.openxmlformats.org/officeDocument/2006/relationships/hyperlink" Target="http://www.ohchr.org/EN/NewsEvents/Pages/DisplayNews.aspx?LangID=E&amp;NewsID=16185" TargetMode="External"/><Relationship Id="rId19" Type="http://schemas.openxmlformats.org/officeDocument/2006/relationships/hyperlink" Target="https://www.gov.uk/government/publications/Irac-historic-allegations%20-team-quarterly-updates" TargetMode="External"/><Relationship Id="rId4" Type="http://schemas.openxmlformats.org/officeDocument/2006/relationships/hyperlink" Target="https://www.gov.uk/government/speeches/queens-speech-2016" TargetMode="External"/><Relationship Id="rId9" Type="http://schemas.openxmlformats.org/officeDocument/2006/relationships/hyperlink" Target="http://www.equalityhumanrights.com/sites/default/files/uploads/documents/humanrights/UN/CCPRC%20GB%20concluding%20observations%20(1).pdf" TargetMode="External"/><Relationship Id="rId14" Type="http://schemas.openxmlformats.org/officeDocument/2006/relationships/hyperlink" Target="http://www.equalityhumanrights.com/sites/default/files/uploads/documents/humanrights/UN/CCPRC%20GB%20concluding%20observations%20(1).pdf" TargetMode="External"/><Relationship Id="rId22" Type="http://schemas.openxmlformats.org/officeDocument/2006/relationships/hyperlink" Target="http://www.cydraddoldebhumanrights.com/about-us/our-work/human-rights/international-framework/international-Cyfay%20Weinyddiaeth%20Amddiffyn%20-civil-and-politic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08CB1-5F21-4D22-B2AD-7ACFBD07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Martin</dc:creator>
  <cp:lastModifiedBy>Rachael Cazaly</cp:lastModifiedBy>
  <cp:revision>3</cp:revision>
  <dcterms:created xsi:type="dcterms:W3CDTF">2016-08-11T11:20:00Z</dcterms:created>
  <dcterms:modified xsi:type="dcterms:W3CDTF">2016-08-11T16:44:00Z</dcterms:modified>
</cp:coreProperties>
</file>